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594DAB">
            <w:pPr>
              <w:pStyle w:val="Ttulo8"/>
              <w:rPr>
                <w:sz w:val="40"/>
              </w:rPr>
            </w:pPr>
            <w:r>
              <w:rPr>
                <w:sz w:val="36"/>
              </w:rPr>
              <w:t>NOVIEM</w:t>
            </w:r>
            <w:r w:rsidR="007C23F9">
              <w:rPr>
                <w:sz w:val="36"/>
              </w:rPr>
              <w:t>BRE</w:t>
            </w:r>
            <w:r w:rsidR="00852557">
              <w:rPr>
                <w:sz w:val="36"/>
              </w:rPr>
              <w:t xml:space="preserve"> 201</w:t>
            </w:r>
            <w:r w:rsidR="00045694">
              <w:rPr>
                <w:sz w:val="36"/>
              </w:rPr>
              <w:t>1</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931" w:type="dxa"/>
        <w:tblInd w:w="70" w:type="dxa"/>
        <w:tblLayout w:type="fixed"/>
        <w:tblCellMar>
          <w:left w:w="70" w:type="dxa"/>
          <w:right w:w="70" w:type="dxa"/>
        </w:tblCellMar>
        <w:tblLook w:val="0000"/>
      </w:tblPr>
      <w:tblGrid>
        <w:gridCol w:w="709"/>
        <w:gridCol w:w="7655"/>
        <w:gridCol w:w="567"/>
      </w:tblGrid>
      <w:tr w:rsidR="00852557">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567" w:type="dxa"/>
            <w:vAlign w:val="center"/>
          </w:tcPr>
          <w:p w:rsidR="00852557" w:rsidRDefault="00852557">
            <w:pPr>
              <w:tabs>
                <w:tab w:val="left" w:pos="4111"/>
              </w:tabs>
              <w:jc w:val="right"/>
              <w:rPr>
                <w:sz w:val="22"/>
              </w:rPr>
            </w:pPr>
            <w:bookmarkStart w:id="2" w:name="_Hlt24881596"/>
            <w:r>
              <w:rPr>
                <w:sz w:val="22"/>
              </w:rPr>
              <w:t>2</w:t>
            </w:r>
            <w:bookmarkEnd w:id="2"/>
          </w:p>
        </w:tc>
      </w:tr>
      <w:tr w:rsidR="00852557">
        <w:trPr>
          <w:cantSplit/>
          <w:trHeight w:val="107"/>
        </w:trPr>
        <w:tc>
          <w:tcPr>
            <w:tcW w:w="8931" w:type="dxa"/>
            <w:gridSpan w:val="3"/>
            <w:vAlign w:val="center"/>
          </w:tcPr>
          <w:p w:rsidR="00852557" w:rsidRDefault="00852557">
            <w:pPr>
              <w:tabs>
                <w:tab w:val="left" w:pos="4111"/>
              </w:tabs>
              <w:jc w:val="right"/>
              <w:rPr>
                <w:sz w:val="22"/>
              </w:rPr>
            </w:pPr>
          </w:p>
        </w:tc>
      </w:tr>
      <w:tr w:rsidR="00852557">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567" w:type="dxa"/>
            <w:vAlign w:val="center"/>
          </w:tcPr>
          <w:p w:rsidR="00852557" w:rsidRDefault="00852557">
            <w:pPr>
              <w:tabs>
                <w:tab w:val="left" w:pos="4111"/>
              </w:tabs>
              <w:jc w:val="right"/>
              <w:rPr>
                <w:sz w:val="22"/>
              </w:rPr>
            </w:pPr>
            <w:r>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567" w:type="dxa"/>
            <w:vAlign w:val="center"/>
          </w:tcPr>
          <w:p w:rsidR="00852557" w:rsidRDefault="002560B5" w:rsidP="002560B5">
            <w:pPr>
              <w:tabs>
                <w:tab w:val="left" w:pos="4111"/>
              </w:tabs>
              <w:jc w:val="right"/>
              <w:rPr>
                <w:sz w:val="22"/>
              </w:rPr>
            </w:pPr>
            <w:r>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567" w:type="dxa"/>
            <w:vAlign w:val="center"/>
          </w:tcPr>
          <w:p w:rsidR="00852557" w:rsidRDefault="002560B5" w:rsidP="002560B5">
            <w:pPr>
              <w:tabs>
                <w:tab w:val="left" w:pos="4111"/>
              </w:tabs>
              <w:jc w:val="right"/>
              <w:rPr>
                <w:sz w:val="22"/>
              </w:rPr>
            </w:pPr>
            <w:r>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567" w:type="dxa"/>
            <w:vAlign w:val="center"/>
          </w:tcPr>
          <w:p w:rsidR="00852557" w:rsidRDefault="002560B5" w:rsidP="002560B5">
            <w:pPr>
              <w:tabs>
                <w:tab w:val="left" w:pos="4111"/>
              </w:tabs>
              <w:jc w:val="right"/>
              <w:rPr>
                <w:sz w:val="22"/>
              </w:rPr>
            </w:pPr>
            <w:r>
              <w:rPr>
                <w:sz w:val="22"/>
              </w:rPr>
              <w:t>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567" w:type="dxa"/>
            <w:vAlign w:val="center"/>
          </w:tcPr>
          <w:p w:rsidR="00852557" w:rsidRDefault="00852557" w:rsidP="002560B5">
            <w:pPr>
              <w:tabs>
                <w:tab w:val="left" w:pos="4111"/>
              </w:tabs>
              <w:jc w:val="right"/>
              <w:rPr>
                <w:sz w:val="22"/>
              </w:rPr>
            </w:pPr>
            <w:r>
              <w:rPr>
                <w:sz w:val="22"/>
              </w:rPr>
              <w:t>1</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567" w:type="dxa"/>
            <w:vAlign w:val="center"/>
          </w:tcPr>
          <w:p w:rsidR="00852557" w:rsidRDefault="00852557" w:rsidP="002560B5">
            <w:pPr>
              <w:tabs>
                <w:tab w:val="left" w:pos="4111"/>
              </w:tabs>
              <w:jc w:val="right"/>
              <w:rPr>
                <w:sz w:val="22"/>
              </w:rPr>
            </w:pPr>
            <w:r>
              <w:rPr>
                <w:sz w:val="22"/>
              </w:rPr>
              <w:t>1</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567" w:type="dxa"/>
            <w:vAlign w:val="center"/>
          </w:tcPr>
          <w:p w:rsidR="00852557" w:rsidRDefault="00852557" w:rsidP="002560B5">
            <w:pPr>
              <w:tabs>
                <w:tab w:val="left" w:pos="4111"/>
              </w:tabs>
              <w:jc w:val="right"/>
              <w:rPr>
                <w:sz w:val="22"/>
              </w:rPr>
            </w:pPr>
            <w:r>
              <w:rPr>
                <w:sz w:val="22"/>
              </w:rPr>
              <w:t>1</w:t>
            </w:r>
            <w:r w:rsidR="002560B5">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right"/>
              <w:rPr>
                <w:sz w:val="22"/>
              </w:rPr>
            </w:pPr>
          </w:p>
        </w:tc>
      </w:tr>
      <w:tr w:rsidR="00852557">
        <w:trPr>
          <w:cantSplit/>
          <w:trHeight w:val="127"/>
        </w:trPr>
        <w:tc>
          <w:tcPr>
            <w:tcW w:w="8931" w:type="dxa"/>
            <w:gridSpan w:val="3"/>
            <w:vAlign w:val="center"/>
          </w:tcPr>
          <w:p w:rsidR="00852557" w:rsidRDefault="00852557">
            <w:pPr>
              <w:tabs>
                <w:tab w:val="left" w:pos="4111"/>
              </w:tabs>
              <w:jc w:val="right"/>
              <w:rPr>
                <w:sz w:val="22"/>
              </w:rPr>
            </w:pPr>
          </w:p>
        </w:tc>
      </w:tr>
      <w:tr w:rsidR="00852557">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567" w:type="dxa"/>
            <w:vAlign w:val="center"/>
          </w:tcPr>
          <w:p w:rsidR="00852557" w:rsidRDefault="00852557" w:rsidP="002560B5">
            <w:pPr>
              <w:tabs>
                <w:tab w:val="left" w:pos="4111"/>
              </w:tabs>
              <w:jc w:val="right"/>
              <w:rPr>
                <w:sz w:val="22"/>
              </w:rPr>
            </w:pPr>
            <w:r>
              <w:rPr>
                <w:sz w:val="22"/>
              </w:rPr>
              <w:t>1</w:t>
            </w:r>
            <w:r w:rsidR="002560B5">
              <w:rPr>
                <w:sz w:val="22"/>
              </w:rPr>
              <w:t>3</w:t>
            </w:r>
          </w:p>
        </w:tc>
      </w:tr>
      <w:tr w:rsidR="00852557">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567" w:type="dxa"/>
            <w:vAlign w:val="center"/>
          </w:tcPr>
          <w:p w:rsidR="00852557" w:rsidRDefault="00852557" w:rsidP="002560B5">
            <w:pPr>
              <w:tabs>
                <w:tab w:val="left" w:pos="4111"/>
              </w:tabs>
              <w:jc w:val="right"/>
              <w:rPr>
                <w:sz w:val="22"/>
              </w:rPr>
            </w:pPr>
            <w:r>
              <w:rPr>
                <w:sz w:val="22"/>
              </w:rPr>
              <w:t>1</w:t>
            </w:r>
            <w:r w:rsidR="002560B5">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right"/>
              <w:rPr>
                <w:sz w:val="22"/>
              </w:rPr>
            </w:pPr>
          </w:p>
        </w:tc>
      </w:tr>
      <w:tr w:rsidR="00852557">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567" w:type="dxa"/>
            <w:vAlign w:val="center"/>
          </w:tcPr>
          <w:p w:rsidR="00852557" w:rsidRDefault="00852557" w:rsidP="002560B5">
            <w:pPr>
              <w:tabs>
                <w:tab w:val="left" w:pos="4111"/>
              </w:tabs>
              <w:jc w:val="right"/>
              <w:rPr>
                <w:sz w:val="22"/>
              </w:rPr>
            </w:pPr>
            <w:r>
              <w:rPr>
                <w:sz w:val="22"/>
              </w:rPr>
              <w:t>1</w:t>
            </w:r>
            <w:r w:rsidR="002560B5">
              <w:rPr>
                <w:sz w:val="22"/>
              </w:rPr>
              <w:t>4</w:t>
            </w:r>
          </w:p>
        </w:tc>
      </w:tr>
      <w:tr w:rsidR="00852557">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567" w:type="dxa"/>
            <w:vAlign w:val="center"/>
          </w:tcPr>
          <w:p w:rsidR="00852557" w:rsidRDefault="00852557" w:rsidP="002560B5">
            <w:pPr>
              <w:tabs>
                <w:tab w:val="left" w:pos="4111"/>
              </w:tabs>
              <w:jc w:val="right"/>
              <w:rPr>
                <w:sz w:val="22"/>
              </w:rPr>
            </w:pPr>
            <w:r>
              <w:rPr>
                <w:sz w:val="22"/>
              </w:rPr>
              <w:t>1</w:t>
            </w:r>
            <w:r w:rsidR="002560B5">
              <w:rPr>
                <w:sz w:val="22"/>
              </w:rPr>
              <w:t>4</w:t>
            </w:r>
          </w:p>
        </w:tc>
      </w:tr>
      <w:tr w:rsidR="00852557">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567" w:type="dxa"/>
            <w:vAlign w:val="center"/>
          </w:tcPr>
          <w:p w:rsidR="00852557" w:rsidRDefault="002560B5" w:rsidP="002560B5">
            <w:pPr>
              <w:tabs>
                <w:tab w:val="left" w:pos="4111"/>
              </w:tabs>
              <w:jc w:val="right"/>
              <w:rPr>
                <w:sz w:val="22"/>
              </w:rPr>
            </w:pPr>
            <w:r>
              <w:rPr>
                <w:sz w:val="22"/>
              </w:rPr>
              <w:t>19</w:t>
            </w:r>
          </w:p>
        </w:tc>
      </w:tr>
      <w:tr w:rsidR="00852557">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567" w:type="dxa"/>
            <w:vAlign w:val="center"/>
          </w:tcPr>
          <w:p w:rsidR="00852557" w:rsidRDefault="00852557">
            <w:pPr>
              <w:tabs>
                <w:tab w:val="left" w:pos="4111"/>
              </w:tabs>
              <w:jc w:val="right"/>
              <w:rPr>
                <w:sz w:val="22"/>
              </w:rPr>
            </w:pPr>
          </w:p>
          <w:p w:rsidR="00852557" w:rsidRDefault="00852557" w:rsidP="002560B5">
            <w:pPr>
              <w:tabs>
                <w:tab w:val="left" w:pos="4111"/>
              </w:tabs>
              <w:jc w:val="right"/>
              <w:rPr>
                <w:sz w:val="22"/>
              </w:rPr>
            </w:pPr>
            <w:r>
              <w:rPr>
                <w:sz w:val="22"/>
              </w:rPr>
              <w:t>2</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567" w:type="dxa"/>
            <w:vAlign w:val="center"/>
          </w:tcPr>
          <w:p w:rsidR="00852557" w:rsidRDefault="00852557" w:rsidP="002560B5">
            <w:pPr>
              <w:tabs>
                <w:tab w:val="left" w:pos="4111"/>
              </w:tabs>
              <w:jc w:val="right"/>
              <w:rPr>
                <w:sz w:val="22"/>
              </w:rPr>
            </w:pPr>
            <w:r>
              <w:rPr>
                <w:sz w:val="22"/>
              </w:rPr>
              <w:t>2</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567" w:type="dxa"/>
            <w:vAlign w:val="center"/>
          </w:tcPr>
          <w:p w:rsidR="00852557" w:rsidRDefault="00852557" w:rsidP="002560B5">
            <w:pPr>
              <w:tabs>
                <w:tab w:val="left" w:pos="4111"/>
              </w:tabs>
              <w:jc w:val="right"/>
              <w:rPr>
                <w:sz w:val="22"/>
              </w:rPr>
            </w:pPr>
            <w:r>
              <w:rPr>
                <w:sz w:val="22"/>
              </w:rPr>
              <w:t>2</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567" w:type="dxa"/>
            <w:vAlign w:val="center"/>
          </w:tcPr>
          <w:p w:rsidR="00852557" w:rsidRDefault="00852557" w:rsidP="002560B5">
            <w:pPr>
              <w:tabs>
                <w:tab w:val="left" w:pos="4111"/>
              </w:tabs>
              <w:jc w:val="right"/>
              <w:rPr>
                <w:sz w:val="22"/>
              </w:rPr>
            </w:pPr>
            <w:r>
              <w:rPr>
                <w:sz w:val="22"/>
              </w:rPr>
              <w:t>2</w:t>
            </w:r>
            <w:r w:rsidR="002560B5">
              <w:rPr>
                <w:sz w:val="22"/>
              </w:rPr>
              <w:t>3</w:t>
            </w:r>
          </w:p>
        </w:tc>
      </w:tr>
      <w:tr w:rsidR="00852557">
        <w:trPr>
          <w:cantSplit/>
        </w:trPr>
        <w:tc>
          <w:tcPr>
            <w:tcW w:w="8931" w:type="dxa"/>
            <w:gridSpan w:val="3"/>
            <w:vAlign w:val="center"/>
          </w:tcPr>
          <w:p w:rsidR="00852557" w:rsidRDefault="00852557">
            <w:pPr>
              <w:tabs>
                <w:tab w:val="left" w:pos="4111"/>
              </w:tabs>
              <w:jc w:val="center"/>
              <w:rPr>
                <w:sz w:val="22"/>
              </w:rPr>
            </w:pPr>
          </w:p>
        </w:tc>
      </w:tr>
      <w:tr w:rsidR="00852557">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567" w:type="dxa"/>
            <w:vAlign w:val="center"/>
          </w:tcPr>
          <w:p w:rsidR="00852557" w:rsidRDefault="00852557" w:rsidP="002560B5">
            <w:pPr>
              <w:tabs>
                <w:tab w:val="left" w:pos="4111"/>
              </w:tabs>
              <w:jc w:val="right"/>
              <w:rPr>
                <w:sz w:val="22"/>
              </w:rPr>
            </w:pPr>
            <w:r>
              <w:rPr>
                <w:sz w:val="22"/>
              </w:rPr>
              <w:t>2</w:t>
            </w:r>
            <w:r w:rsidR="002560B5">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567" w:type="dxa"/>
            <w:vAlign w:val="center"/>
          </w:tcPr>
          <w:p w:rsidR="00852557" w:rsidRDefault="00852557" w:rsidP="002560B5">
            <w:pPr>
              <w:tabs>
                <w:tab w:val="left" w:pos="4111"/>
              </w:tabs>
              <w:jc w:val="right"/>
              <w:rPr>
                <w:sz w:val="22"/>
              </w:rPr>
            </w:pPr>
            <w:r>
              <w:rPr>
                <w:sz w:val="22"/>
              </w:rPr>
              <w:t>2</w:t>
            </w:r>
            <w:r w:rsidR="002560B5">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567" w:type="dxa"/>
            <w:vAlign w:val="center"/>
          </w:tcPr>
          <w:p w:rsidR="00852557" w:rsidRDefault="00852557" w:rsidP="002560B5">
            <w:pPr>
              <w:tabs>
                <w:tab w:val="left" w:pos="4111"/>
              </w:tabs>
              <w:jc w:val="right"/>
              <w:rPr>
                <w:sz w:val="22"/>
              </w:rPr>
            </w:pPr>
            <w:r>
              <w:rPr>
                <w:sz w:val="22"/>
              </w:rPr>
              <w:t>2</w:t>
            </w:r>
            <w:r w:rsidR="002560B5">
              <w:rPr>
                <w:sz w:val="22"/>
              </w:rPr>
              <w:t>5</w:t>
            </w:r>
          </w:p>
        </w:tc>
      </w:tr>
      <w:tr w:rsidR="00DB3B04">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5.3. Crédito a la pequeña y microempresa …………………………………………</w:t>
            </w:r>
          </w:p>
        </w:tc>
        <w:tc>
          <w:tcPr>
            <w:tcW w:w="567" w:type="dxa"/>
            <w:vAlign w:val="center"/>
          </w:tcPr>
          <w:p w:rsidR="00DB3B04" w:rsidRDefault="00DB3B04" w:rsidP="002560B5">
            <w:pPr>
              <w:tabs>
                <w:tab w:val="left" w:pos="4111"/>
              </w:tabs>
              <w:jc w:val="right"/>
              <w:rPr>
                <w:sz w:val="22"/>
              </w:rPr>
            </w:pPr>
            <w:r>
              <w:rPr>
                <w:sz w:val="22"/>
              </w:rPr>
              <w:t>2</w:t>
            </w:r>
            <w:r w:rsidR="002560B5">
              <w:rPr>
                <w:sz w:val="22"/>
              </w:rPr>
              <w:t>7</w:t>
            </w:r>
          </w:p>
        </w:tc>
      </w:tr>
      <w:tr w:rsidR="00852557">
        <w:trPr>
          <w:cantSplit/>
        </w:trPr>
        <w:tc>
          <w:tcPr>
            <w:tcW w:w="8931" w:type="dxa"/>
            <w:gridSpan w:val="3"/>
            <w:vAlign w:val="center"/>
          </w:tcPr>
          <w:p w:rsidR="00852557" w:rsidRDefault="00852557">
            <w:pPr>
              <w:tabs>
                <w:tab w:val="left" w:pos="4111"/>
              </w:tabs>
              <w:rPr>
                <w:sz w:val="22"/>
              </w:rPr>
            </w:pPr>
          </w:p>
        </w:tc>
      </w:tr>
      <w:tr w:rsidR="00852557">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567" w:type="dxa"/>
            <w:vAlign w:val="center"/>
          </w:tcPr>
          <w:p w:rsidR="00852557" w:rsidRDefault="00852557" w:rsidP="002560B5">
            <w:pPr>
              <w:tabs>
                <w:tab w:val="left" w:pos="4111"/>
              </w:tabs>
              <w:jc w:val="right"/>
              <w:rPr>
                <w:sz w:val="22"/>
              </w:rPr>
            </w:pPr>
            <w:r>
              <w:rPr>
                <w:sz w:val="22"/>
              </w:rPr>
              <w:t>2</w:t>
            </w:r>
            <w:r w:rsidR="002560B5">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567" w:type="dxa"/>
            <w:vAlign w:val="center"/>
          </w:tcPr>
          <w:p w:rsidR="00852557" w:rsidRDefault="00852557">
            <w:pPr>
              <w:tabs>
                <w:tab w:val="left" w:pos="4111"/>
              </w:tabs>
              <w:jc w:val="center"/>
              <w:rPr>
                <w:sz w:val="22"/>
              </w:rPr>
            </w:pP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567" w:type="dxa"/>
            <w:vAlign w:val="center"/>
          </w:tcPr>
          <w:p w:rsidR="00852557" w:rsidRDefault="002560B5" w:rsidP="002560B5">
            <w:pPr>
              <w:tabs>
                <w:tab w:val="left" w:pos="4111"/>
              </w:tabs>
              <w:jc w:val="right"/>
              <w:rPr>
                <w:sz w:val="22"/>
              </w:rPr>
            </w:pPr>
            <w:r>
              <w:rPr>
                <w:sz w:val="22"/>
              </w:rPr>
              <w:t>29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567" w:type="dxa"/>
            <w:vAlign w:val="center"/>
          </w:tcPr>
          <w:p w:rsidR="00852557" w:rsidRDefault="00852557" w:rsidP="002560B5">
            <w:pPr>
              <w:tabs>
                <w:tab w:val="left" w:pos="4111"/>
              </w:tabs>
              <w:jc w:val="right"/>
              <w:rPr>
                <w:sz w:val="22"/>
              </w:rPr>
            </w:pPr>
            <w:r>
              <w:rPr>
                <w:sz w:val="22"/>
              </w:rPr>
              <w:t>3</w:t>
            </w:r>
            <w:r w:rsidR="002560B5">
              <w:rPr>
                <w:sz w:val="22"/>
              </w:rPr>
              <w:t>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567" w:type="dxa"/>
            <w:vAlign w:val="center"/>
          </w:tcPr>
          <w:p w:rsidR="00852557" w:rsidRDefault="00852557" w:rsidP="002560B5">
            <w:pPr>
              <w:tabs>
                <w:tab w:val="left" w:pos="4111"/>
              </w:tabs>
              <w:jc w:val="right"/>
              <w:rPr>
                <w:sz w:val="22"/>
              </w:rPr>
            </w:pPr>
            <w:r>
              <w:rPr>
                <w:sz w:val="22"/>
              </w:rPr>
              <w:t>3</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567" w:type="dxa"/>
            <w:vAlign w:val="center"/>
          </w:tcPr>
          <w:p w:rsidR="00852557" w:rsidRDefault="00852557" w:rsidP="002560B5">
            <w:pPr>
              <w:tabs>
                <w:tab w:val="left" w:pos="4111"/>
              </w:tabs>
              <w:jc w:val="right"/>
              <w:rPr>
                <w:sz w:val="22"/>
              </w:rPr>
            </w:pPr>
            <w:r>
              <w:rPr>
                <w:sz w:val="22"/>
              </w:rPr>
              <w:t>3</w:t>
            </w:r>
            <w:r w:rsidR="002560B5">
              <w:rPr>
                <w:sz w:val="22"/>
              </w:rPr>
              <w:t>2</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567" w:type="dxa"/>
            <w:vAlign w:val="center"/>
          </w:tcPr>
          <w:p w:rsidR="00852557" w:rsidRDefault="00852557" w:rsidP="002560B5">
            <w:pPr>
              <w:tabs>
                <w:tab w:val="left" w:pos="4111"/>
              </w:tabs>
              <w:jc w:val="right"/>
              <w:rPr>
                <w:sz w:val="22"/>
              </w:rPr>
            </w:pPr>
            <w:r>
              <w:rPr>
                <w:sz w:val="22"/>
              </w:rPr>
              <w:t>3</w:t>
            </w:r>
            <w:r w:rsidR="002560B5">
              <w:rPr>
                <w:sz w:val="22"/>
              </w:rPr>
              <w:t>3</w:t>
            </w:r>
          </w:p>
        </w:tc>
      </w:tr>
      <w:tr w:rsidR="00852557" w:rsidRPr="00D34F95">
        <w:tc>
          <w:tcPr>
            <w:tcW w:w="709" w:type="dxa"/>
            <w:vAlign w:val="center"/>
          </w:tcPr>
          <w:p w:rsidR="00852557" w:rsidRDefault="00852557">
            <w:pPr>
              <w:tabs>
                <w:tab w:val="left" w:pos="4111"/>
              </w:tabs>
              <w:jc w:val="center"/>
              <w:rPr>
                <w:sz w:val="22"/>
              </w:rPr>
            </w:pPr>
          </w:p>
        </w:tc>
        <w:tc>
          <w:tcPr>
            <w:tcW w:w="7655" w:type="dxa"/>
            <w:vAlign w:val="center"/>
          </w:tcPr>
          <w:p w:rsidR="00852557" w:rsidRPr="00D34F95" w:rsidRDefault="00852557">
            <w:pPr>
              <w:pStyle w:val="Piedepgina"/>
              <w:tabs>
                <w:tab w:val="clear" w:pos="4419"/>
                <w:tab w:val="clear" w:pos="8838"/>
                <w:tab w:val="left" w:pos="4111"/>
              </w:tabs>
              <w:rPr>
                <w:sz w:val="22"/>
              </w:rPr>
            </w:pPr>
            <w:r w:rsidRPr="00D34F95">
              <w:rPr>
                <w:sz w:val="22"/>
              </w:rPr>
              <w:t>Anexo 6: Empleo Formal Urbano en Empresas de 10 y más Trabajadores en la ciudad de Piura, por Sector Económico.........................................................................</w:t>
            </w:r>
          </w:p>
        </w:tc>
        <w:tc>
          <w:tcPr>
            <w:tcW w:w="567" w:type="dxa"/>
            <w:vAlign w:val="center"/>
          </w:tcPr>
          <w:p w:rsidR="00852557" w:rsidRPr="00D34F95" w:rsidRDefault="00852557" w:rsidP="002560B5">
            <w:pPr>
              <w:tabs>
                <w:tab w:val="left" w:pos="4111"/>
              </w:tabs>
              <w:jc w:val="right"/>
              <w:rPr>
                <w:sz w:val="22"/>
              </w:rPr>
            </w:pPr>
            <w:r w:rsidRPr="00D34F95">
              <w:rPr>
                <w:sz w:val="22"/>
              </w:rPr>
              <w:t>3</w:t>
            </w:r>
            <w:r w:rsidR="002560B5">
              <w:rPr>
                <w:sz w:val="22"/>
              </w:rPr>
              <w:t>4</w:t>
            </w:r>
          </w:p>
        </w:tc>
      </w:tr>
      <w:tr w:rsidR="00852557" w:rsidRPr="00D34F95">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pPr>
              <w:tabs>
                <w:tab w:val="left" w:pos="4111"/>
              </w:tabs>
              <w:rPr>
                <w:sz w:val="22"/>
              </w:rPr>
            </w:pPr>
            <w:r w:rsidRPr="00D34F95">
              <w:rPr>
                <w:sz w:val="22"/>
              </w:rPr>
              <w:t>Anexo 7: Tipo de Cambio en el Mercado Paralelo en la ciudad de Piura......................</w:t>
            </w:r>
          </w:p>
        </w:tc>
        <w:tc>
          <w:tcPr>
            <w:tcW w:w="567" w:type="dxa"/>
            <w:vAlign w:val="center"/>
          </w:tcPr>
          <w:p w:rsidR="00852557" w:rsidRPr="00D34F95" w:rsidRDefault="00852557" w:rsidP="002560B5">
            <w:pPr>
              <w:tabs>
                <w:tab w:val="left" w:pos="4111"/>
              </w:tabs>
              <w:jc w:val="right"/>
              <w:rPr>
                <w:sz w:val="22"/>
              </w:rPr>
            </w:pPr>
            <w:r w:rsidRPr="00D34F95">
              <w:rPr>
                <w:sz w:val="22"/>
              </w:rPr>
              <w:t>3</w:t>
            </w:r>
            <w:r w:rsidR="002560B5">
              <w:rPr>
                <w:sz w:val="22"/>
              </w:rPr>
              <w:t>5</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Anexo 8: Exportaciones FOB por Grupo de Producto..................................................</w:t>
            </w:r>
          </w:p>
        </w:tc>
        <w:tc>
          <w:tcPr>
            <w:tcW w:w="567" w:type="dxa"/>
            <w:vAlign w:val="center"/>
          </w:tcPr>
          <w:p w:rsidR="00852557" w:rsidRDefault="00852557" w:rsidP="002560B5">
            <w:pPr>
              <w:tabs>
                <w:tab w:val="left" w:pos="4111"/>
              </w:tabs>
              <w:jc w:val="right"/>
              <w:rPr>
                <w:sz w:val="22"/>
              </w:rPr>
            </w:pPr>
            <w:r>
              <w:rPr>
                <w:sz w:val="22"/>
              </w:rPr>
              <w:t>3</w:t>
            </w:r>
            <w:r w:rsidR="002560B5">
              <w:rPr>
                <w:sz w:val="22"/>
              </w:rPr>
              <w:t>6</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9: Exportaciones de Productos Tradicionales…….............................................</w:t>
            </w:r>
          </w:p>
        </w:tc>
        <w:tc>
          <w:tcPr>
            <w:tcW w:w="567" w:type="dxa"/>
            <w:vAlign w:val="center"/>
          </w:tcPr>
          <w:p w:rsidR="00852557" w:rsidRDefault="00852557" w:rsidP="002560B5">
            <w:pPr>
              <w:tabs>
                <w:tab w:val="left" w:pos="4111"/>
              </w:tabs>
              <w:jc w:val="right"/>
              <w:rPr>
                <w:sz w:val="22"/>
              </w:rPr>
            </w:pPr>
            <w:r>
              <w:rPr>
                <w:sz w:val="22"/>
              </w:rPr>
              <w:t>3</w:t>
            </w:r>
            <w:r w:rsidR="002560B5">
              <w:rPr>
                <w:sz w:val="22"/>
              </w:rPr>
              <w:t>7</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10: Exportaciones de Productos No Tradicionales………….............................</w:t>
            </w:r>
          </w:p>
        </w:tc>
        <w:tc>
          <w:tcPr>
            <w:tcW w:w="567" w:type="dxa"/>
            <w:vAlign w:val="center"/>
          </w:tcPr>
          <w:p w:rsidR="00852557" w:rsidRDefault="00852557" w:rsidP="002560B5">
            <w:pPr>
              <w:tabs>
                <w:tab w:val="left" w:pos="4111"/>
              </w:tabs>
              <w:jc w:val="right"/>
              <w:rPr>
                <w:sz w:val="22"/>
              </w:rPr>
            </w:pPr>
            <w:r>
              <w:rPr>
                <w:sz w:val="22"/>
              </w:rPr>
              <w:t>3</w:t>
            </w:r>
            <w:r w:rsidR="002560B5">
              <w:rPr>
                <w:sz w:val="22"/>
              </w:rPr>
              <w:t>8</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11: Exportaciones por Bloque Económico y países............................................</w:t>
            </w:r>
          </w:p>
        </w:tc>
        <w:tc>
          <w:tcPr>
            <w:tcW w:w="567" w:type="dxa"/>
            <w:vAlign w:val="center"/>
          </w:tcPr>
          <w:p w:rsidR="00852557" w:rsidRDefault="002560B5" w:rsidP="002560B5">
            <w:pPr>
              <w:tabs>
                <w:tab w:val="left" w:pos="4111"/>
              </w:tabs>
              <w:jc w:val="right"/>
              <w:rPr>
                <w:sz w:val="22"/>
              </w:rPr>
            </w:pPr>
            <w:r>
              <w:rPr>
                <w:sz w:val="22"/>
              </w:rPr>
              <w:t>39</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12: Importaciones por uso o destino económico................................................</w:t>
            </w:r>
          </w:p>
        </w:tc>
        <w:tc>
          <w:tcPr>
            <w:tcW w:w="567" w:type="dxa"/>
            <w:vAlign w:val="center"/>
          </w:tcPr>
          <w:p w:rsidR="00852557" w:rsidRDefault="00852557" w:rsidP="002560B5">
            <w:pPr>
              <w:tabs>
                <w:tab w:val="left" w:pos="4111"/>
              </w:tabs>
              <w:jc w:val="right"/>
              <w:rPr>
                <w:sz w:val="22"/>
              </w:rPr>
            </w:pPr>
            <w:r>
              <w:rPr>
                <w:sz w:val="22"/>
              </w:rPr>
              <w:t>4</w:t>
            </w:r>
            <w:r w:rsidR="002560B5">
              <w:rPr>
                <w:sz w:val="22"/>
              </w:rPr>
              <w:t>0</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13: Ingresos Corrientes del Gobierno Central....................................................</w:t>
            </w:r>
          </w:p>
        </w:tc>
        <w:tc>
          <w:tcPr>
            <w:tcW w:w="567" w:type="dxa"/>
            <w:vAlign w:val="center"/>
          </w:tcPr>
          <w:p w:rsidR="00852557" w:rsidRDefault="00852557" w:rsidP="002560B5">
            <w:pPr>
              <w:tabs>
                <w:tab w:val="left" w:pos="4111"/>
              </w:tabs>
              <w:jc w:val="right"/>
              <w:rPr>
                <w:sz w:val="22"/>
              </w:rPr>
            </w:pPr>
            <w:r>
              <w:rPr>
                <w:sz w:val="22"/>
              </w:rPr>
              <w:t>4</w:t>
            </w:r>
            <w:r w:rsidR="002560B5">
              <w:rPr>
                <w:sz w:val="22"/>
              </w:rPr>
              <w:t>1</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14: Depósitos y Obligaciones del Sistema Financiero........................................</w:t>
            </w:r>
          </w:p>
        </w:tc>
        <w:tc>
          <w:tcPr>
            <w:tcW w:w="567" w:type="dxa"/>
            <w:vAlign w:val="center"/>
          </w:tcPr>
          <w:p w:rsidR="00852557" w:rsidRDefault="00852557" w:rsidP="002560B5">
            <w:pPr>
              <w:tabs>
                <w:tab w:val="left" w:pos="4111"/>
              </w:tabs>
              <w:jc w:val="right"/>
              <w:rPr>
                <w:sz w:val="22"/>
              </w:rPr>
            </w:pPr>
            <w:r>
              <w:rPr>
                <w:sz w:val="22"/>
              </w:rPr>
              <w:t>4</w:t>
            </w:r>
            <w:r w:rsidR="002560B5">
              <w:rPr>
                <w:sz w:val="22"/>
              </w:rPr>
              <w:t>2</w:t>
            </w:r>
          </w:p>
        </w:tc>
      </w:tr>
      <w:tr w:rsidR="00852557">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15: Crédito del Sistema Financiero.........................…........................................</w:t>
            </w:r>
          </w:p>
        </w:tc>
        <w:tc>
          <w:tcPr>
            <w:tcW w:w="567" w:type="dxa"/>
            <w:vAlign w:val="center"/>
          </w:tcPr>
          <w:p w:rsidR="00852557" w:rsidRDefault="00852557" w:rsidP="002560B5">
            <w:pPr>
              <w:tabs>
                <w:tab w:val="left" w:pos="4111"/>
              </w:tabs>
              <w:jc w:val="right"/>
              <w:rPr>
                <w:sz w:val="22"/>
              </w:rPr>
            </w:pPr>
            <w:r>
              <w:rPr>
                <w:sz w:val="22"/>
              </w:rPr>
              <w:t>4</w:t>
            </w:r>
            <w:r w:rsidR="002560B5">
              <w:rPr>
                <w:sz w:val="22"/>
              </w:rPr>
              <w:t>3</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Anexo 16: Cartera Pesada en el Sistema Financiero………………..............................</w:t>
            </w:r>
          </w:p>
        </w:tc>
        <w:tc>
          <w:tcPr>
            <w:tcW w:w="567" w:type="dxa"/>
            <w:vAlign w:val="center"/>
          </w:tcPr>
          <w:p w:rsidR="00852557" w:rsidRDefault="00852557" w:rsidP="002560B5">
            <w:pPr>
              <w:tabs>
                <w:tab w:val="left" w:pos="4111"/>
              </w:tabs>
              <w:jc w:val="right"/>
              <w:rPr>
                <w:sz w:val="22"/>
              </w:rPr>
            </w:pPr>
            <w:r>
              <w:rPr>
                <w:sz w:val="22"/>
              </w:rPr>
              <w:t>4</w:t>
            </w:r>
            <w:r w:rsidR="002560B5">
              <w:rPr>
                <w:sz w:val="22"/>
              </w:rPr>
              <w:t>4</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567" w:type="dxa"/>
            <w:vAlign w:val="center"/>
          </w:tcPr>
          <w:p w:rsidR="00852557" w:rsidRDefault="00852557" w:rsidP="002560B5">
            <w:pPr>
              <w:tabs>
                <w:tab w:val="left" w:pos="4111"/>
              </w:tabs>
              <w:jc w:val="right"/>
              <w:rPr>
                <w:sz w:val="22"/>
              </w:rPr>
            </w:pPr>
            <w:r>
              <w:rPr>
                <w:sz w:val="22"/>
              </w:rPr>
              <w:t>4</w:t>
            </w:r>
            <w:r w:rsidR="002560B5">
              <w:rPr>
                <w:sz w:val="22"/>
              </w:rPr>
              <w:t>5</w:t>
            </w:r>
          </w:p>
        </w:tc>
      </w:tr>
      <w:tr w:rsidR="00852557">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567"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852557">
      <w:pPr>
        <w:jc w:val="center"/>
        <w:rPr>
          <w:b/>
          <w:color w:val="FF0000"/>
          <w:sz w:val="26"/>
        </w:rPr>
      </w:pP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6658EC" w:rsidRDefault="00B71374" w:rsidP="006658EC">
      <w:pPr>
        <w:rPr>
          <w:sz w:val="22"/>
          <w:szCs w:val="22"/>
        </w:rPr>
      </w:pPr>
      <w:r>
        <w:rPr>
          <w:sz w:val="22"/>
          <w:szCs w:val="22"/>
        </w:rPr>
        <w:lastRenderedPageBreak/>
        <w:t xml:space="preserve">En el período enero-noviembre, el </w:t>
      </w:r>
      <w:r>
        <w:rPr>
          <w:b/>
          <w:bCs/>
          <w:sz w:val="22"/>
          <w:szCs w:val="22"/>
        </w:rPr>
        <w:t xml:space="preserve">Indicador de Actividad Económica Regional </w:t>
      </w:r>
      <w:r>
        <w:rPr>
          <w:sz w:val="22"/>
          <w:szCs w:val="22"/>
        </w:rPr>
        <w:t>creció en 3,7  por ciento respecto a similar período del año anterior</w:t>
      </w:r>
      <w:r>
        <w:rPr>
          <w:sz w:val="22"/>
          <w:szCs w:val="22"/>
          <w:vertAlign w:val="superscript"/>
        </w:rPr>
        <w:t>1</w:t>
      </w:r>
      <w:r>
        <w:rPr>
          <w:sz w:val="22"/>
          <w:szCs w:val="22"/>
        </w:rPr>
        <w:t>. Esto obedeció a comportamientos positivos de los sectores de pesca (25,8 por ciento), manufactura (9,6  por ciento), construcción (6,2 por ciento), electricidad y agua (6,9 por ciento),</w:t>
      </w:r>
      <w:r w:rsidRPr="00B71374">
        <w:rPr>
          <w:sz w:val="22"/>
          <w:szCs w:val="22"/>
        </w:rPr>
        <w:t xml:space="preserve"> </w:t>
      </w:r>
      <w:r>
        <w:rPr>
          <w:sz w:val="22"/>
          <w:szCs w:val="22"/>
        </w:rPr>
        <w:t>servicios gubernamentales (2,2 por ciento) y servicios financieros (13,1 por ciento). En contraste, decrecieron  los sectores agropecuario (-7,0 por ciento) e hidrocarburos (-0,7 por ciento).</w:t>
      </w:r>
    </w:p>
    <w:p w:rsidR="00852557" w:rsidRDefault="00852557">
      <w:pPr>
        <w:rPr>
          <w:color w:val="FF0000"/>
          <w:sz w:val="22"/>
        </w:rPr>
      </w:pPr>
    </w:p>
    <w:p w:rsidR="00852557" w:rsidRPr="00F27159" w:rsidRDefault="00C053FA">
      <w:pPr>
        <w:pStyle w:val="SBS"/>
        <w:rPr>
          <w:rFonts w:ascii="Times New Roman" w:hAnsi="Times New Roman"/>
          <w:bCs/>
          <w:color w:val="FF0000"/>
        </w:rPr>
      </w:pPr>
      <w:r w:rsidRPr="00F27159">
        <w:rPr>
          <w:rFonts w:ascii="Times New Roman" w:hAnsi="Times New Roman"/>
          <w:bCs/>
          <w:szCs w:val="22"/>
        </w:rPr>
        <w:t>Del total</w:t>
      </w:r>
      <w:r w:rsidRPr="007E0B4C">
        <w:rPr>
          <w:rFonts w:ascii="Times New Roman" w:hAnsi="Times New Roman"/>
          <w:bCs/>
          <w:szCs w:val="22"/>
        </w:rPr>
        <w:t xml:space="preserve"> de </w:t>
      </w:r>
      <w:r w:rsidRPr="007E0B4C">
        <w:rPr>
          <w:rFonts w:ascii="Times New Roman" w:hAnsi="Times New Roman"/>
          <w:b/>
          <w:bCs/>
          <w:szCs w:val="22"/>
        </w:rPr>
        <w:t>empresas comerciales encuestadas</w:t>
      </w:r>
      <w:r w:rsidRPr="007E0B4C">
        <w:rPr>
          <w:rFonts w:ascii="Times New Roman" w:hAnsi="Times New Roman"/>
          <w:bCs/>
          <w:szCs w:val="22"/>
        </w:rPr>
        <w:t xml:space="preserve">, </w:t>
      </w:r>
      <w:r w:rsidRPr="00F27159">
        <w:rPr>
          <w:rFonts w:ascii="Times New Roman" w:hAnsi="Times New Roman"/>
          <w:bCs/>
          <w:szCs w:val="22"/>
        </w:rPr>
        <w:t xml:space="preserve"> </w:t>
      </w:r>
      <w:r w:rsidR="00F27159" w:rsidRPr="00F27159">
        <w:rPr>
          <w:rFonts w:ascii="Times New Roman" w:hAnsi="Times New Roman"/>
          <w:bCs/>
          <w:szCs w:val="22"/>
        </w:rPr>
        <w:t xml:space="preserve">el 62,0 por ciento incrementó sus ventas respecto a noviembre del año pasado, mientras que un 29,0 por ciento  experimentó una disminución  y un 10,0 por ciento no mostró variación alguna. </w:t>
      </w:r>
    </w:p>
    <w:p w:rsidR="007E54D7" w:rsidRDefault="007E54D7">
      <w:pPr>
        <w:pStyle w:val="SBS"/>
        <w:rPr>
          <w:rFonts w:ascii="Times New Roman" w:hAnsi="Times New Roman"/>
          <w:bCs/>
          <w:color w:val="FF0000"/>
        </w:rPr>
      </w:pPr>
    </w:p>
    <w:p w:rsidR="00FB0D4F" w:rsidRDefault="00852557" w:rsidP="00FB0D4F">
      <w:pPr>
        <w:pStyle w:val="SBS"/>
        <w:keepLines/>
        <w:rPr>
          <w:rFonts w:ascii="Times New Roman" w:hAnsi="Times New Roman"/>
          <w:color w:val="000000"/>
          <w:szCs w:val="20"/>
          <w:lang w:val="es-ES"/>
        </w:rPr>
      </w:pPr>
      <w:r w:rsidRPr="00B81839">
        <w:rPr>
          <w:rFonts w:ascii="Times New Roman" w:hAnsi="Times New Roman"/>
          <w:szCs w:val="20"/>
          <w:lang w:val="es-ES"/>
        </w:rPr>
        <w:t>Al finalizar</w:t>
      </w:r>
      <w:r>
        <w:rPr>
          <w:rFonts w:ascii="Times New Roman" w:hAnsi="Times New Roman"/>
          <w:color w:val="000000"/>
          <w:szCs w:val="20"/>
          <w:lang w:val="es-ES"/>
        </w:rPr>
        <w:t xml:space="preserve"> el mes, </w:t>
      </w:r>
      <w:r w:rsidR="00B81839">
        <w:rPr>
          <w:rFonts w:ascii="Times New Roman" w:hAnsi="Times New Roman"/>
          <w:color w:val="000000"/>
          <w:szCs w:val="20"/>
          <w:lang w:val="es-ES"/>
        </w:rPr>
        <w:t xml:space="preserve"> el </w:t>
      </w:r>
      <w:r w:rsidR="00B81839" w:rsidRPr="00B81839">
        <w:rPr>
          <w:rFonts w:ascii="Times New Roman" w:hAnsi="Times New Roman"/>
          <w:b/>
          <w:color w:val="000000"/>
          <w:szCs w:val="20"/>
          <w:lang w:val="es-ES"/>
        </w:rPr>
        <w:t>tipo de cambio</w:t>
      </w:r>
      <w:r w:rsidR="00B81839">
        <w:rPr>
          <w:rFonts w:ascii="Times New Roman" w:hAnsi="Times New Roman"/>
          <w:color w:val="000000"/>
          <w:szCs w:val="20"/>
          <w:lang w:val="es-ES"/>
        </w:rPr>
        <w:t xml:space="preserve"> venta en el mercado informal de la ciudad de Piura disminuyó en 3,6 </w:t>
      </w:r>
      <w:r w:rsidR="00B81839">
        <w:rPr>
          <w:rFonts w:ascii="Times New Roman" w:hAnsi="Times New Roman"/>
          <w:szCs w:val="20"/>
          <w:lang w:val="es-ES"/>
        </w:rPr>
        <w:t xml:space="preserve"> </w:t>
      </w:r>
      <w:r w:rsidR="00B81839">
        <w:rPr>
          <w:rFonts w:ascii="Times New Roman" w:hAnsi="Times New Roman"/>
          <w:color w:val="000000"/>
          <w:szCs w:val="20"/>
          <w:lang w:val="es-ES"/>
        </w:rPr>
        <w:t>por ciento respecto a similar período del año anterior. En esta fecha, se cotizó en  S</w:t>
      </w:r>
      <w:r w:rsidR="00B81839" w:rsidRPr="003D6C32">
        <w:rPr>
          <w:rFonts w:ascii="Times New Roman" w:hAnsi="Times New Roman"/>
          <w:color w:val="000000"/>
          <w:szCs w:val="20"/>
          <w:lang w:val="es-ES"/>
        </w:rPr>
        <w:t>/. 2,</w:t>
      </w:r>
      <w:r w:rsidR="00B81839">
        <w:rPr>
          <w:rFonts w:ascii="Times New Roman" w:hAnsi="Times New Roman"/>
          <w:color w:val="000000"/>
          <w:szCs w:val="20"/>
          <w:lang w:val="es-ES"/>
        </w:rPr>
        <w:t xml:space="preserve">69 la compra y S/.2,71  la venta. </w:t>
      </w:r>
    </w:p>
    <w:p w:rsidR="00D9364A" w:rsidRDefault="00D9364A" w:rsidP="00FB0D4F">
      <w:pPr>
        <w:pStyle w:val="SBS"/>
        <w:keepLines/>
        <w:rPr>
          <w:rFonts w:ascii="Times New Roman" w:hAnsi="Times New Roman"/>
          <w:color w:val="000000"/>
          <w:szCs w:val="20"/>
          <w:lang w:val="es-ES"/>
        </w:rPr>
      </w:pPr>
    </w:p>
    <w:p w:rsidR="00C40AB3" w:rsidRDefault="00B71374" w:rsidP="00C40AB3">
      <w:pPr>
        <w:pStyle w:val="Sangradetextonormal"/>
        <w:ind w:firstLine="0"/>
        <w:rPr>
          <w:sz w:val="22"/>
        </w:rPr>
      </w:pPr>
      <w:r>
        <w:rPr>
          <w:sz w:val="22"/>
        </w:rPr>
        <w:t xml:space="preserve">En noviembre, las </w:t>
      </w:r>
      <w:r>
        <w:rPr>
          <w:b/>
          <w:sz w:val="22"/>
        </w:rPr>
        <w:t>exportaciones</w:t>
      </w:r>
      <w:r>
        <w:rPr>
          <w:sz w:val="22"/>
        </w:rPr>
        <w:t xml:space="preserve"> del</w:t>
      </w:r>
      <w:r w:rsidR="00B81839">
        <w:rPr>
          <w:sz w:val="22"/>
        </w:rPr>
        <w:br w:type="column"/>
      </w:r>
      <w:r w:rsidR="00B81839">
        <w:rPr>
          <w:sz w:val="22"/>
        </w:rPr>
        <w:lastRenderedPageBreak/>
        <w:t>d</w:t>
      </w:r>
      <w:r>
        <w:rPr>
          <w:sz w:val="22"/>
        </w:rPr>
        <w:t>epartamento de Piura fueron de US$135,2 millones, siendo inferiores en 3,2 por ciento en relación con las de igual mes del año pasado, por el descenso en la oferta de productos tradicionales (-70,8 por ciento), que contrarrestó el aumento en los productos no tradicionales (55,3 por ciento).</w:t>
      </w:r>
    </w:p>
    <w:p w:rsidR="00475595" w:rsidRDefault="00475595" w:rsidP="00475595">
      <w:pPr>
        <w:pStyle w:val="Sangradetextonormal"/>
        <w:ind w:firstLine="0"/>
        <w:rPr>
          <w:sz w:val="22"/>
        </w:rPr>
      </w:pPr>
    </w:p>
    <w:p w:rsidR="00852557" w:rsidRDefault="00852557">
      <w:pPr>
        <w:rPr>
          <w:sz w:val="22"/>
        </w:rPr>
      </w:pPr>
      <w:r>
        <w:rPr>
          <w:sz w:val="22"/>
        </w:rPr>
        <w:t>En el plano fiscal,</w:t>
      </w:r>
      <w:r w:rsidR="00401CA7">
        <w:rPr>
          <w:sz w:val="22"/>
        </w:rPr>
        <w:t xml:space="preserve"> </w:t>
      </w:r>
      <w:r w:rsidR="00B71374">
        <w:rPr>
          <w:sz w:val="22"/>
        </w:rPr>
        <w:t xml:space="preserve">los </w:t>
      </w:r>
      <w:r w:rsidR="00B71374" w:rsidRPr="00B71374">
        <w:rPr>
          <w:b/>
          <w:sz w:val="22"/>
        </w:rPr>
        <w:t>ingresos recaudados por el Gobierno Central</w:t>
      </w:r>
      <w:r w:rsidR="00B71374">
        <w:rPr>
          <w:sz w:val="22"/>
        </w:rPr>
        <w:t xml:space="preserve"> bordearon los S/.118,6 millones, lo que implicó un incremento real del 9,9 por ciento con relación a igual mes del año anterior. Este desempeño es atribuible principalmente a la expansión del  impuesto general a las ventas externas (63,2 por ciento), y, en segunda instancia, al repunte de los impuestos a los ingresos (9,6 por ciento).</w:t>
      </w:r>
      <w:r w:rsidR="00FB0D4F">
        <w:rPr>
          <w:sz w:val="22"/>
        </w:rPr>
        <w:t xml:space="preserve">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7E7C91">
        <w:rPr>
          <w:sz w:val="22"/>
        </w:rPr>
        <w:t>1</w:t>
      </w:r>
      <w:r w:rsidR="00B71374">
        <w:rPr>
          <w:sz w:val="22"/>
        </w:rPr>
        <w:t>6</w:t>
      </w:r>
      <w:r w:rsidR="007E7C91">
        <w:rPr>
          <w:sz w:val="22"/>
        </w:rPr>
        <w:t>,</w:t>
      </w:r>
      <w:r w:rsidR="00B71374">
        <w:rPr>
          <w:sz w:val="22"/>
        </w:rPr>
        <w:t>3</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Pr>
          <w:b/>
          <w:sz w:val="22"/>
          <w:szCs w:val="22"/>
        </w:rPr>
        <w:t xml:space="preserve">crecieron </w:t>
      </w:r>
      <w:r>
        <w:rPr>
          <w:sz w:val="22"/>
          <w:szCs w:val="22"/>
        </w:rPr>
        <w:t xml:space="preserve">en </w:t>
      </w:r>
      <w:r w:rsidR="00B71374">
        <w:rPr>
          <w:sz w:val="22"/>
          <w:szCs w:val="22"/>
        </w:rPr>
        <w:t>3,6 y 16,0</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similar p</w:t>
      </w:r>
      <w:r w:rsidR="00475595">
        <w:rPr>
          <w:sz w:val="22"/>
          <w:szCs w:val="22"/>
        </w:rPr>
        <w:t>eríodo de</w:t>
      </w:r>
      <w:r w:rsidR="00483779">
        <w:rPr>
          <w:sz w:val="22"/>
          <w:szCs w:val="22"/>
        </w:rPr>
        <w:t>l</w:t>
      </w:r>
      <w:r w:rsidR="00475595">
        <w:rPr>
          <w:sz w:val="22"/>
          <w:szCs w:val="22"/>
        </w:rPr>
        <w:t xml:space="preserve"> 2010</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Pr>
          <w:sz w:val="22"/>
          <w:szCs w:val="22"/>
        </w:rPr>
        <w:t xml:space="preserve">del </w:t>
      </w:r>
      <w:r w:rsidR="00B71374">
        <w:rPr>
          <w:sz w:val="22"/>
          <w:szCs w:val="22"/>
        </w:rPr>
        <w:t>4,0</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sectPr w:rsidR="00852557">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sectPr w:rsidR="00852557">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pStyle w:val="SBS"/>
        <w:rPr>
          <w:rFonts w:ascii="Times New Roman" w:hAnsi="Times New Roman"/>
          <w:color w:val="FF0000"/>
          <w:szCs w:val="22"/>
          <w:lang w:val="es-ES"/>
        </w:rPr>
        <w:sectPr w:rsidR="00852557">
          <w:type w:val="continuous"/>
          <w:pgSz w:w="11906" w:h="16838"/>
          <w:pgMar w:top="1417" w:right="1701" w:bottom="1417" w:left="1701" w:header="720" w:footer="720" w:gutter="0"/>
          <w:cols w:num="2" w:space="720" w:equalWidth="0">
            <w:col w:w="3892" w:space="720"/>
            <w:col w:w="3892"/>
          </w:cols>
        </w:sectPr>
      </w:pPr>
    </w:p>
    <w:p w:rsidR="00852557" w:rsidRDefault="00852557" w:rsidP="00B81839">
      <w:pPr>
        <w:rPr>
          <w:color w:val="FF0000"/>
          <w:sz w:val="22"/>
        </w:rPr>
        <w:sectPr w:rsidR="00852557">
          <w:type w:val="continuous"/>
          <w:pgSz w:w="11906" w:h="16838"/>
          <w:pgMar w:top="1417" w:right="1701" w:bottom="1417" w:left="1701" w:header="720" w:footer="720" w:gutter="0"/>
          <w:cols w:space="709"/>
        </w:sectPr>
      </w:pPr>
    </w:p>
    <w:p w:rsidR="00852557" w:rsidRDefault="00852557">
      <w:pPr>
        <w:pStyle w:val="Ttulo6"/>
      </w:pPr>
      <w:r>
        <w:lastRenderedPageBreak/>
        <w:t>ACTIVIDAD PRODUCTIVA Y EMPLEO</w:t>
      </w:r>
    </w:p>
    <w:p w:rsidR="00852557" w:rsidRDefault="00852557">
      <w:pPr>
        <w:ind w:firstLine="708"/>
      </w:pPr>
    </w:p>
    <w:p w:rsidR="00852557" w:rsidRDefault="00852557">
      <w:pPr>
        <w:ind w:firstLine="708"/>
        <w:sectPr w:rsidR="00852557">
          <w:type w:val="continuous"/>
          <w:pgSz w:w="11906" w:h="16838"/>
          <w:pgMar w:top="1417" w:right="1701" w:bottom="1417" w:left="1701" w:header="720" w:footer="720" w:gutter="0"/>
          <w:pgNumType w:start="2"/>
          <w:cols w:space="720" w:equalWidth="0">
            <w:col w:w="8504"/>
          </w:cols>
        </w:sectPr>
      </w:pPr>
    </w:p>
    <w:p w:rsidR="00852557" w:rsidRPr="00F72747" w:rsidRDefault="00852557">
      <w:pPr>
        <w:numPr>
          <w:ilvl w:val="1"/>
          <w:numId w:val="1"/>
        </w:numPr>
        <w:rPr>
          <w:b/>
        </w:rPr>
      </w:pPr>
      <w:r w:rsidRPr="00F72747">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F63AB9" w:rsidRDefault="00F63AB9" w:rsidP="00F63AB9">
      <w:pPr>
        <w:rPr>
          <w:sz w:val="22"/>
          <w:szCs w:val="22"/>
        </w:rPr>
      </w:pPr>
      <w:r>
        <w:rPr>
          <w:sz w:val="22"/>
          <w:szCs w:val="22"/>
        </w:rPr>
        <w:lastRenderedPageBreak/>
        <w:t>En el período enero-</w:t>
      </w:r>
      <w:r w:rsidR="00E15A6A">
        <w:rPr>
          <w:sz w:val="22"/>
          <w:szCs w:val="22"/>
        </w:rPr>
        <w:t>noviem</w:t>
      </w:r>
      <w:r>
        <w:rPr>
          <w:sz w:val="22"/>
          <w:szCs w:val="22"/>
        </w:rPr>
        <w:t xml:space="preserve">bre, el </w:t>
      </w:r>
      <w:r>
        <w:rPr>
          <w:b/>
          <w:bCs/>
          <w:sz w:val="22"/>
          <w:szCs w:val="22"/>
        </w:rPr>
        <w:t xml:space="preserve">Indicador de Actividad Económica Regional </w:t>
      </w:r>
      <w:r>
        <w:rPr>
          <w:sz w:val="22"/>
          <w:szCs w:val="22"/>
        </w:rPr>
        <w:t xml:space="preserve">creció en </w:t>
      </w:r>
      <w:r w:rsidR="00E15A6A">
        <w:rPr>
          <w:sz w:val="22"/>
          <w:szCs w:val="22"/>
        </w:rPr>
        <w:t xml:space="preserve">3,7 </w:t>
      </w:r>
      <w:r>
        <w:rPr>
          <w:sz w:val="22"/>
          <w:szCs w:val="22"/>
        </w:rPr>
        <w:t xml:space="preserve"> por ciento respecto a similar período del año anterior</w:t>
      </w:r>
      <w:r w:rsidR="00EF4617">
        <w:rPr>
          <w:sz w:val="22"/>
          <w:szCs w:val="22"/>
          <w:vertAlign w:val="superscript"/>
        </w:rPr>
        <w:t>1</w:t>
      </w:r>
      <w:r>
        <w:rPr>
          <w:sz w:val="22"/>
          <w:szCs w:val="22"/>
        </w:rPr>
        <w:t>. Esto obedeció a comportamientos positivos de los sectores de pesca (25,</w:t>
      </w:r>
      <w:r w:rsidR="00E15A6A">
        <w:rPr>
          <w:sz w:val="22"/>
          <w:szCs w:val="22"/>
        </w:rPr>
        <w:t>8</w:t>
      </w:r>
      <w:r>
        <w:rPr>
          <w:sz w:val="22"/>
          <w:szCs w:val="22"/>
        </w:rPr>
        <w:t xml:space="preserve"> por ciento), manufactura (</w:t>
      </w:r>
      <w:r w:rsidR="00E15A6A">
        <w:rPr>
          <w:sz w:val="22"/>
          <w:szCs w:val="22"/>
        </w:rPr>
        <w:t xml:space="preserve">9,6 </w:t>
      </w:r>
      <w:r>
        <w:rPr>
          <w:sz w:val="22"/>
          <w:szCs w:val="22"/>
        </w:rPr>
        <w:t xml:space="preserve"> por ciento), construcción </w:t>
      </w:r>
      <w:r>
        <w:rPr>
          <w:sz w:val="22"/>
          <w:szCs w:val="22"/>
        </w:rPr>
        <w:lastRenderedPageBreak/>
        <w:t>(</w:t>
      </w:r>
      <w:r w:rsidR="00E15A6A">
        <w:rPr>
          <w:sz w:val="22"/>
          <w:szCs w:val="22"/>
        </w:rPr>
        <w:t>6</w:t>
      </w:r>
      <w:r>
        <w:rPr>
          <w:sz w:val="22"/>
          <w:szCs w:val="22"/>
        </w:rPr>
        <w:t>,</w:t>
      </w:r>
      <w:r w:rsidR="00E15A6A">
        <w:rPr>
          <w:sz w:val="22"/>
          <w:szCs w:val="22"/>
        </w:rPr>
        <w:t>2</w:t>
      </w:r>
      <w:r>
        <w:rPr>
          <w:sz w:val="22"/>
          <w:szCs w:val="22"/>
        </w:rPr>
        <w:t xml:space="preserve"> por ciento), electricidad y agua (</w:t>
      </w:r>
      <w:r w:rsidR="00E15A6A">
        <w:rPr>
          <w:sz w:val="22"/>
          <w:szCs w:val="22"/>
        </w:rPr>
        <w:t>6</w:t>
      </w:r>
      <w:r>
        <w:rPr>
          <w:sz w:val="22"/>
          <w:szCs w:val="22"/>
        </w:rPr>
        <w:t>,</w:t>
      </w:r>
      <w:r w:rsidR="00E15A6A">
        <w:rPr>
          <w:sz w:val="22"/>
          <w:szCs w:val="22"/>
        </w:rPr>
        <w:t>9</w:t>
      </w:r>
      <w:r>
        <w:rPr>
          <w:sz w:val="22"/>
          <w:szCs w:val="22"/>
        </w:rPr>
        <w:t xml:space="preserve"> por ciento)</w:t>
      </w:r>
      <w:r w:rsidR="00B71374">
        <w:rPr>
          <w:sz w:val="22"/>
          <w:szCs w:val="22"/>
        </w:rPr>
        <w:t>,</w:t>
      </w:r>
      <w:r w:rsidR="00B71374" w:rsidRPr="00B71374">
        <w:rPr>
          <w:sz w:val="22"/>
          <w:szCs w:val="22"/>
        </w:rPr>
        <w:t xml:space="preserve"> </w:t>
      </w:r>
      <w:r w:rsidR="00B71374">
        <w:rPr>
          <w:sz w:val="22"/>
          <w:szCs w:val="22"/>
        </w:rPr>
        <w:t>servicios gubernamentales (2,2 por ciento)</w:t>
      </w:r>
      <w:r>
        <w:rPr>
          <w:sz w:val="22"/>
          <w:szCs w:val="22"/>
        </w:rPr>
        <w:t xml:space="preserve"> y servicios financieros (13,</w:t>
      </w:r>
      <w:r w:rsidR="00B71374">
        <w:rPr>
          <w:sz w:val="22"/>
          <w:szCs w:val="22"/>
        </w:rPr>
        <w:t>1</w:t>
      </w:r>
      <w:r>
        <w:rPr>
          <w:sz w:val="22"/>
          <w:szCs w:val="22"/>
        </w:rPr>
        <w:t xml:space="preserve"> por ciento). En contraste, decrecieron  los sectores agropecuario (-</w:t>
      </w:r>
      <w:r w:rsidR="00B71374">
        <w:rPr>
          <w:sz w:val="22"/>
          <w:szCs w:val="22"/>
        </w:rPr>
        <w:t>7,0</w:t>
      </w:r>
      <w:r>
        <w:rPr>
          <w:sz w:val="22"/>
          <w:szCs w:val="22"/>
        </w:rPr>
        <w:t xml:space="preserve"> por ciento)</w:t>
      </w:r>
      <w:r w:rsidR="00B71374">
        <w:rPr>
          <w:sz w:val="22"/>
          <w:szCs w:val="22"/>
        </w:rPr>
        <w:t xml:space="preserve"> e hidrocarburos (-0</w:t>
      </w:r>
      <w:r>
        <w:rPr>
          <w:sz w:val="22"/>
          <w:szCs w:val="22"/>
        </w:rPr>
        <w:t>,</w:t>
      </w:r>
      <w:r w:rsidR="00B71374">
        <w:rPr>
          <w:sz w:val="22"/>
          <w:szCs w:val="22"/>
        </w:rPr>
        <w:t>7 por ciento)</w:t>
      </w:r>
      <w:r>
        <w:rPr>
          <w:sz w:val="22"/>
          <w:szCs w:val="22"/>
        </w:rPr>
        <w:t>.</w:t>
      </w:r>
    </w:p>
    <w:p w:rsidR="00F63AB9" w:rsidRDefault="00F63AB9" w:rsidP="00F63AB9">
      <w:pPr>
        <w:rPr>
          <w:sz w:val="22"/>
          <w:szCs w:val="22"/>
        </w:rPr>
        <w:sectPr w:rsidR="00F63AB9" w:rsidSect="00F63AB9">
          <w:type w:val="continuous"/>
          <w:pgSz w:w="11906" w:h="16838"/>
          <w:pgMar w:top="1560" w:right="1701" w:bottom="1417" w:left="1701" w:header="720" w:footer="720" w:gutter="0"/>
          <w:cols w:num="2" w:space="720"/>
        </w:sectPr>
      </w:pPr>
    </w:p>
    <w:p w:rsidR="00F63AB9" w:rsidRDefault="00F63AB9" w:rsidP="00F63AB9">
      <w:pPr>
        <w:rPr>
          <w:sz w:val="22"/>
          <w:szCs w:val="22"/>
        </w:rPr>
      </w:pPr>
    </w:p>
    <w:p w:rsidR="00852557" w:rsidRDefault="00D804CE">
      <w:pPr>
        <w:rPr>
          <w:sz w:val="22"/>
          <w:szCs w:val="22"/>
        </w:rPr>
      </w:pPr>
      <w:r>
        <w:rPr>
          <w:sz w:val="22"/>
        </w:rPr>
        <w:lastRenderedPageBreak/>
        <w:t xml:space="preserve"> </w:t>
      </w:r>
    </w:p>
    <w:p w:rsidR="00852557" w:rsidRDefault="00852557">
      <w:pPr>
        <w:rPr>
          <w:sz w:val="22"/>
          <w:szCs w:val="22"/>
        </w:rPr>
        <w:sectPr w:rsidR="00852557">
          <w:type w:val="continuous"/>
          <w:pgSz w:w="11906" w:h="16838"/>
          <w:pgMar w:top="1560" w:right="1701" w:bottom="1417" w:left="1701" w:header="720" w:footer="720" w:gutter="0"/>
          <w:cols w:num="2" w:space="720"/>
        </w:sectPr>
      </w:pPr>
    </w:p>
    <w:p w:rsidR="00D61BDC" w:rsidRDefault="00E15A6A">
      <w:pPr>
        <w:tabs>
          <w:tab w:val="left" w:pos="5954"/>
          <w:tab w:val="left" w:pos="6096"/>
        </w:tabs>
        <w:jc w:val="center"/>
        <w:rPr>
          <w:color w:val="FF0000"/>
          <w:sz w:val="22"/>
        </w:rPr>
        <w:sectPr w:rsidR="00D61BDC" w:rsidSect="00D61BDC">
          <w:type w:val="continuous"/>
          <w:pgSz w:w="11906" w:h="16838"/>
          <w:pgMar w:top="1418" w:right="1701" w:bottom="1276" w:left="1701" w:header="708" w:footer="708" w:gutter="0"/>
          <w:cols w:space="709"/>
          <w:docGrid w:linePitch="360"/>
        </w:sectPr>
      </w:pPr>
      <w:r w:rsidRPr="00C6389F">
        <w:rPr>
          <w:color w:val="FF0000"/>
          <w:sz w:val="22"/>
        </w:rPr>
        <w:object w:dxaOrig="7092" w:dyaOrig="66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75pt;height:280.5pt" o:ole="">
            <v:imagedata r:id="rId14" o:title=""/>
          </v:shape>
          <o:OLEObject Type="Embed" ProgID="Excel.Sheet.8" ShapeID="_x0000_i1025" DrawAspect="Content" ObjectID="_1388566662" r:id="rId15"/>
        </w:object>
      </w:r>
    </w:p>
    <w:p w:rsidR="00852557" w:rsidRDefault="00852557">
      <w:pPr>
        <w:tabs>
          <w:tab w:val="left" w:pos="5954"/>
          <w:tab w:val="left" w:pos="6096"/>
        </w:tabs>
        <w:jc w:val="center"/>
        <w:rPr>
          <w:rFonts w:ascii="Arial" w:hAnsi="Arial"/>
          <w:sz w:val="16"/>
          <w:lang w:val="es-MX"/>
        </w:rPr>
      </w:pPr>
    </w:p>
    <w:p w:rsidR="00D61BDC" w:rsidRDefault="00D61BDC">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852557" w:rsidRPr="00483779" w:rsidRDefault="00852557" w:rsidP="00D61BDC">
      <w:pPr>
        <w:numPr>
          <w:ilvl w:val="2"/>
          <w:numId w:val="10"/>
        </w:numPr>
        <w:rPr>
          <w:b/>
        </w:rPr>
      </w:pPr>
      <w:r w:rsidRPr="00483779">
        <w:rPr>
          <w:b/>
        </w:rPr>
        <w:lastRenderedPageBreak/>
        <w:t>Producción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D804CE" w:rsidRDefault="00165A89" w:rsidP="00D804CE">
      <w:pPr>
        <w:pStyle w:val="Textoindependiente"/>
        <w:rPr>
          <w:rFonts w:ascii="Times" w:hAnsi="Times" w:cs="Arial"/>
          <w:sz w:val="22"/>
        </w:rPr>
      </w:pPr>
      <w:r>
        <w:rPr>
          <w:rFonts w:ascii="Times" w:hAnsi="Times" w:cs="Arial"/>
          <w:sz w:val="22"/>
        </w:rPr>
        <w:lastRenderedPageBreak/>
        <w:t xml:space="preserve">En noviembre, la </w:t>
      </w:r>
      <w:r>
        <w:rPr>
          <w:rFonts w:ascii="Times" w:hAnsi="Times" w:cs="Arial"/>
          <w:b/>
          <w:sz w:val="22"/>
        </w:rPr>
        <w:t>actividad agropecuaria</w:t>
      </w:r>
      <w:r>
        <w:rPr>
          <w:rFonts w:ascii="Times" w:hAnsi="Times" w:cs="Arial"/>
          <w:bCs/>
          <w:sz w:val="22"/>
        </w:rPr>
        <w:t xml:space="preserve"> de</w:t>
      </w:r>
      <w:r>
        <w:rPr>
          <w:rFonts w:ascii="Times" w:hAnsi="Times" w:cs="Arial"/>
          <w:sz w:val="22"/>
        </w:rPr>
        <w:t xml:space="preserve">creció 51,0 por ciento respecto de similar mes del año pasado debido a la significativa caída del subsector agrícola (-59,3 por ciento) que no pudo ser compensada por la </w:t>
      </w:r>
      <w:r>
        <w:rPr>
          <w:rFonts w:ascii="Times" w:hAnsi="Times" w:cs="Arial"/>
          <w:sz w:val="22"/>
        </w:rPr>
        <w:lastRenderedPageBreak/>
        <w:t>recuperación del subsector pecuario (10,5 por ciento). De este modo, el sector observó una contracción del 7,0 por ciento en lo que va del año.</w:t>
      </w:r>
    </w:p>
    <w:p w:rsidR="00675AA8" w:rsidRDefault="00675AA8" w:rsidP="00D61BDC">
      <w:pPr>
        <w:pStyle w:val="Textoindependiente"/>
        <w:rPr>
          <w:rFonts w:ascii="Times" w:hAnsi="Times" w:cs="Arial"/>
          <w:bCs/>
          <w:sz w:val="22"/>
        </w:rPr>
        <w:sectPr w:rsidR="00675AA8" w:rsidSect="00675AA8">
          <w:type w:val="continuous"/>
          <w:pgSz w:w="11906" w:h="16838"/>
          <w:pgMar w:top="1418" w:right="1701" w:bottom="1276" w:left="1701" w:header="708" w:footer="708" w:gutter="0"/>
          <w:cols w:num="2" w:space="709"/>
          <w:docGrid w:linePitch="360"/>
        </w:sectPr>
      </w:pPr>
    </w:p>
    <w:p w:rsidR="00D61BDC" w:rsidRDefault="00F153EA" w:rsidP="00704B80">
      <w:pPr>
        <w:pStyle w:val="Textoindependiente"/>
        <w:jc w:val="center"/>
        <w:rPr>
          <w:b/>
        </w:rPr>
      </w:pPr>
      <w:r w:rsidRPr="00F153EA">
        <w:rPr>
          <w:noProof/>
        </w:rPr>
        <w:lastRenderedPageBreak/>
        <w:pict>
          <v:shape id="_x0000_s9691" type="#_x0000_t75" style="position:absolute;left:0;text-align:left;margin-left:88.95pt;margin-top:14.1pt;width:258pt;height:145.85pt;z-index:251693568">
            <v:imagedata r:id="rId16" o:title=""/>
            <o:lock v:ext="edit" aspectratio="f"/>
            <w10:wrap type="square"/>
          </v:shape>
          <o:OLEObject Type="Embed" ProgID="Excel.Sheet.12" ShapeID="_x0000_s9691" DrawAspect="Content" ObjectID="_1388566702" r:id="rId17"/>
        </w:pict>
      </w:r>
      <w:r w:rsidRPr="00F153EA">
        <w:rPr>
          <w:noProof/>
          <w:lang w:val="es-PE" w:eastAsia="es-PE"/>
        </w:rPr>
        <w:pict>
          <v:shapetype id="_x0000_t202" coordsize="21600,21600" o:spt="202" path="m,l,21600r21600,l21600,xe">
            <v:stroke joinstyle="miter"/>
            <v:path gradientshapeok="t" o:connecttype="rect"/>
          </v:shapetype>
          <v:shape id="_x0000_s1603" type="#_x0000_t202" style="position:absolute;left:0;text-align:left;margin-left:-6.25pt;margin-top:167.45pt;width:445.15pt;height:45.75pt;z-index:251665920;mso-width-relative:margin;mso-height-relative:margin" stroked="f">
            <v:textbox style="mso-next-textbox:#_x0000_s1603">
              <w:txbxContent>
                <w:p w:rsidR="00DB21F1" w:rsidRPr="00E63ED3" w:rsidRDefault="00DB21F1" w:rsidP="00EC207F">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crecimiento del Indicador de Actividad Económica Regional, éste debe entenderse, en sentido estricto, como el aporte al crecimiento global de los sectores (principalmente primarios y secundarios) incluidos en el indicador.  Vale decir, en conjunto, estos sectores crecieron en 6,3  por ciento, pero como su peso relativo en el PBI es de 58,5 por ciento, su aporte al crecimiento regional es de 3,7 por ciento (6,3%  x 0.585).</w:t>
                  </w:r>
                </w:p>
              </w:txbxContent>
            </v:textbox>
          </v:shape>
        </w:pict>
      </w:r>
    </w:p>
    <w:p w:rsidR="00D61BDC" w:rsidRDefault="00165A89" w:rsidP="003748DF">
      <w:pPr>
        <w:ind w:left="454"/>
        <w:jc w:val="center"/>
      </w:pPr>
      <w:r>
        <w:object w:dxaOrig="7724" w:dyaOrig="6396">
          <v:shape id="_x0000_i1026" type="#_x0000_t75" style="width:368.25pt;height:330pt" o:ole="">
            <v:imagedata r:id="rId18" o:title=""/>
            <o:lock v:ext="edit" aspectratio="f"/>
          </v:shape>
          <o:OLEObject Type="Embed" ProgID="Excel.Sheet.12" ShapeID="_x0000_i1026" DrawAspect="Content" ObjectID="_1388566663" r:id="rId19"/>
        </w:object>
      </w:r>
    </w:p>
    <w:p w:rsidR="00907111" w:rsidRDefault="00907111" w:rsidP="00D61BDC">
      <w:pPr>
        <w:jc w:val="center"/>
      </w:pPr>
    </w:p>
    <w:p w:rsidR="00D61BDC" w:rsidRDefault="00D61BDC" w:rsidP="00D61BDC">
      <w:pPr>
        <w:rPr>
          <w:sz w:val="22"/>
        </w:rPr>
        <w:sectPr w:rsidR="00D61BDC">
          <w:headerReference w:type="default" r:id="rId20"/>
          <w:footerReference w:type="default" r:id="rId21"/>
          <w:type w:val="continuous"/>
          <w:pgSz w:w="11906" w:h="16838"/>
          <w:pgMar w:top="1418" w:right="1701" w:bottom="1276" w:left="1701" w:header="720" w:footer="720" w:gutter="0"/>
          <w:cols w:space="720"/>
        </w:sectPr>
      </w:pPr>
    </w:p>
    <w:p w:rsidR="00165A89" w:rsidRDefault="00165A89" w:rsidP="00165A89">
      <w:pPr>
        <w:rPr>
          <w:sz w:val="22"/>
        </w:rPr>
      </w:pPr>
      <w:r>
        <w:rPr>
          <w:sz w:val="22"/>
        </w:rPr>
        <w:lastRenderedPageBreak/>
        <w:t>El desempeño negativo del subsector agrícola se explica por caídas en la producción de arroz (-65,3 por ciento), limón (-11,4 por ciento) y mango (-62,6 por ciento), principalmente.</w:t>
      </w:r>
    </w:p>
    <w:p w:rsidR="00165A89" w:rsidRDefault="00165A89" w:rsidP="00165A89">
      <w:pPr>
        <w:rPr>
          <w:sz w:val="22"/>
        </w:rPr>
      </w:pPr>
    </w:p>
    <w:p w:rsidR="00165A89" w:rsidRDefault="00165A89" w:rsidP="00165A89">
      <w:pPr>
        <w:rPr>
          <w:sz w:val="22"/>
        </w:rPr>
      </w:pPr>
      <w:r>
        <w:rPr>
          <w:sz w:val="22"/>
        </w:rPr>
        <w:t xml:space="preserve"> La producción de arroz  disminuyó debido a que la campaña chica actual está más retrasada (la mayor concentración de siembras fue en setiembre frente a agosto en la campaña chica anterior); asimismo, el comportamiento climático (temperaturas ambientales inferiores) condicionó un </w:t>
      </w:r>
      <w:r>
        <w:rPr>
          <w:sz w:val="22"/>
        </w:rPr>
        <w:lastRenderedPageBreak/>
        <w:t xml:space="preserve">crecimiento vegetativo más lento de la planta. En consecuencia, se espera un comportamiento positivo de la producción de este cereal en el primer trimestre del próximo año. </w:t>
      </w:r>
    </w:p>
    <w:p w:rsidR="00165A89" w:rsidRDefault="00165A89" w:rsidP="00165A89">
      <w:pPr>
        <w:rPr>
          <w:sz w:val="22"/>
        </w:rPr>
      </w:pPr>
    </w:p>
    <w:p w:rsidR="00165A89" w:rsidRDefault="00165A89" w:rsidP="00165A89">
      <w:pPr>
        <w:rPr>
          <w:sz w:val="22"/>
        </w:rPr>
      </w:pPr>
      <w:r>
        <w:rPr>
          <w:sz w:val="22"/>
        </w:rPr>
        <w:t>De otro lado, el clima también está incidiendo en la contracción de las cosechas de limón y mango. En particular, en este último caso, la proyección es que la caída durante toda la temporada actual, que se prolongaría hasta marzo del próximo año, superaría el 50 por ciento.</w:t>
      </w:r>
    </w:p>
    <w:p w:rsidR="00165A89" w:rsidRDefault="00165A89" w:rsidP="00165A89">
      <w:pPr>
        <w:rPr>
          <w:sz w:val="22"/>
        </w:rPr>
        <w:sectPr w:rsidR="00165A89" w:rsidSect="00165A89">
          <w:headerReference w:type="default" r:id="rId22"/>
          <w:footerReference w:type="default" r:id="rId23"/>
          <w:type w:val="continuous"/>
          <w:pgSz w:w="11906" w:h="16838"/>
          <w:pgMar w:top="1418" w:right="1701" w:bottom="1276" w:left="1701" w:header="720" w:footer="720" w:gutter="0"/>
          <w:cols w:num="2" w:space="709"/>
        </w:sectPr>
      </w:pPr>
    </w:p>
    <w:p w:rsidR="00D804CE" w:rsidRDefault="00D804CE" w:rsidP="00165A89">
      <w:pPr>
        <w:rPr>
          <w:sz w:val="22"/>
        </w:rPr>
      </w:pPr>
    </w:p>
    <w:p w:rsidR="003F24B8" w:rsidRDefault="00F153EA" w:rsidP="003F24B8">
      <w:pPr>
        <w:rPr>
          <w:sz w:val="22"/>
          <w:szCs w:val="22"/>
        </w:rPr>
      </w:pPr>
      <w:r>
        <w:rPr>
          <w:noProof/>
          <w:sz w:val="22"/>
          <w:szCs w:val="22"/>
          <w:lang w:val="es-PE" w:eastAsia="es-PE"/>
        </w:rPr>
        <w:pict>
          <v:shape id="_x0000_s9693" type="#_x0000_t75" style="position:absolute;left:0;text-align:left;margin-left:238.95pt;margin-top:5.3pt;width:202.4pt;height:179.2pt;z-index:251695616">
            <v:imagedata r:id="rId24" o:title=""/>
            <w10:wrap type="square"/>
          </v:shape>
          <o:OLEObject Type="Embed" ProgID="Excel.Sheet.8" ShapeID="_x0000_s9693" DrawAspect="Content" ObjectID="_1388566703" r:id="rId25"/>
        </w:pict>
      </w:r>
      <w:r w:rsidRPr="00F153EA">
        <w:rPr>
          <w:noProof/>
          <w:lang w:val="es-PE" w:eastAsia="es-PE"/>
        </w:rPr>
        <w:pict>
          <v:shape id="_x0000_s9692" type="#_x0000_t75" style="position:absolute;left:0;text-align:left;margin-left:-3.45pt;margin-top:5.25pt;width:202.5pt;height:179.25pt;z-index:251694592">
            <v:imagedata r:id="rId26" o:title=""/>
            <w10:wrap type="square"/>
          </v:shape>
          <o:OLEObject Type="Embed" ProgID="Excel.Sheet.8" ShapeID="_x0000_s9692" DrawAspect="Content" ObjectID="_1388566704" r:id="rId27"/>
        </w:pict>
      </w:r>
    </w:p>
    <w:p w:rsidR="003F24B8" w:rsidRDefault="003F24B8" w:rsidP="003F24B8">
      <w:pPr>
        <w:rPr>
          <w:sz w:val="22"/>
          <w:szCs w:val="22"/>
        </w:rPr>
      </w:pPr>
    </w:p>
    <w:p w:rsidR="003F24B8" w:rsidRDefault="003F24B8" w:rsidP="003F24B8">
      <w:pPr>
        <w:rPr>
          <w:sz w:val="22"/>
          <w:szCs w:val="22"/>
        </w:rPr>
        <w:sectPr w:rsidR="003F24B8" w:rsidSect="00165A89">
          <w:type w:val="continuous"/>
          <w:pgSz w:w="11906" w:h="16838"/>
          <w:pgMar w:top="1418" w:right="1701" w:bottom="1276" w:left="1701" w:header="720" w:footer="720" w:gutter="0"/>
          <w:cols w:space="709"/>
        </w:sectPr>
      </w:pPr>
    </w:p>
    <w:p w:rsidR="003F24B8" w:rsidRDefault="003F24B8" w:rsidP="003F24B8">
      <w:pPr>
        <w:jc w:val="center"/>
      </w:pPr>
    </w:p>
    <w:p w:rsidR="00907111" w:rsidRDefault="00907111" w:rsidP="00D61BDC">
      <w:pPr>
        <w:rPr>
          <w:sz w:val="22"/>
          <w:szCs w:val="22"/>
        </w:rPr>
        <w:sectPr w:rsidR="00907111" w:rsidSect="00165A89">
          <w:headerReference w:type="default" r:id="rId28"/>
          <w:footerReference w:type="default" r:id="rId29"/>
          <w:type w:val="continuous"/>
          <w:pgSz w:w="11906" w:h="16838"/>
          <w:pgMar w:top="1418" w:right="1701" w:bottom="1276" w:left="1701" w:header="720" w:footer="720" w:gutter="0"/>
          <w:cols w:space="709"/>
        </w:sectPr>
      </w:pPr>
    </w:p>
    <w:p w:rsidR="00165A89" w:rsidRDefault="00165A89" w:rsidP="00D61BDC">
      <w:pPr>
        <w:jc w:val="center"/>
        <w:rPr>
          <w:sz w:val="22"/>
        </w:rPr>
        <w:sectPr w:rsidR="00165A89">
          <w:headerReference w:type="default" r:id="rId30"/>
          <w:footerReference w:type="default" r:id="rId31"/>
          <w:type w:val="continuous"/>
          <w:pgSz w:w="11906" w:h="16838"/>
          <w:pgMar w:top="1418" w:right="1701" w:bottom="1276" w:left="1701" w:header="720" w:footer="720" w:gutter="0"/>
          <w:cols w:space="720"/>
        </w:sectPr>
      </w:pPr>
    </w:p>
    <w:p w:rsidR="00D61BDC" w:rsidRDefault="003748DF" w:rsidP="00D61BDC">
      <w:pPr>
        <w:jc w:val="center"/>
        <w:rPr>
          <w:sz w:val="22"/>
        </w:rPr>
      </w:pPr>
      <w:r w:rsidRPr="008F36D3">
        <w:rPr>
          <w:sz w:val="22"/>
        </w:rPr>
        <w:object w:dxaOrig="5699" w:dyaOrig="3482">
          <v:shape id="_x0000_i1027" type="#_x0000_t75" style="width:271.5pt;height:179.25pt" o:ole="">
            <v:imagedata r:id="rId32" o:title=""/>
          </v:shape>
          <o:OLEObject Type="Embed" ProgID="Excel.Sheet.8" ShapeID="_x0000_i1027" DrawAspect="Content" ObjectID="_1388566664" r:id="rId33"/>
        </w:object>
      </w:r>
    </w:p>
    <w:p w:rsidR="00A3588F" w:rsidRDefault="00A3588F" w:rsidP="00D61BDC">
      <w:pPr>
        <w:jc w:val="center"/>
        <w:rPr>
          <w:sz w:val="22"/>
        </w:rPr>
      </w:pPr>
    </w:p>
    <w:p w:rsidR="00D61BDC" w:rsidRDefault="00D61BDC" w:rsidP="00D61BDC">
      <w:pPr>
        <w:rPr>
          <w:rFonts w:ascii="Arial" w:hAnsi="Arial"/>
          <w:sz w:val="22"/>
          <w:szCs w:val="22"/>
        </w:rPr>
      </w:pPr>
    </w:p>
    <w:p w:rsidR="00D61BDC" w:rsidRDefault="00D61BDC" w:rsidP="00D61BDC">
      <w:pPr>
        <w:rPr>
          <w:rFonts w:ascii="Times" w:hAnsi="Times" w:cs="Arial"/>
          <w:sz w:val="22"/>
        </w:rPr>
        <w:sectPr w:rsidR="00D61BDC">
          <w:type w:val="continuous"/>
          <w:pgSz w:w="11906" w:h="16838"/>
          <w:pgMar w:top="1418" w:right="1701" w:bottom="1276" w:left="1701" w:header="720" w:footer="720" w:gutter="0"/>
          <w:cols w:space="720"/>
        </w:sectPr>
      </w:pPr>
    </w:p>
    <w:p w:rsidR="00165A89" w:rsidRDefault="00165A89" w:rsidP="00165A89">
      <w:pPr>
        <w:rPr>
          <w:sz w:val="22"/>
          <w:szCs w:val="22"/>
        </w:rPr>
      </w:pPr>
      <w:r>
        <w:rPr>
          <w:rFonts w:ascii="Times" w:hAnsi="Times" w:cs="Arial"/>
          <w:sz w:val="22"/>
        </w:rPr>
        <w:lastRenderedPageBreak/>
        <w:t xml:space="preserve">Los </w:t>
      </w:r>
      <w:r>
        <w:rPr>
          <w:rFonts w:ascii="Times" w:hAnsi="Times" w:cs="Arial"/>
          <w:b/>
          <w:bCs/>
          <w:sz w:val="22"/>
        </w:rPr>
        <w:t>precios en chacra</w:t>
      </w:r>
      <w:r>
        <w:rPr>
          <w:rFonts w:ascii="Times" w:hAnsi="Times" w:cs="Arial"/>
          <w:sz w:val="22"/>
        </w:rPr>
        <w:t xml:space="preserve"> durante el mes mostraron un sesgo al alza en la mayoría de cultivos en comparación con noviembre del año pasado. Así, se observaron incrementos en los precios de arroz (25,5 por ciento), </w:t>
      </w:r>
      <w:r>
        <w:rPr>
          <w:rFonts w:ascii="Times" w:hAnsi="Times" w:cs="Arial"/>
          <w:sz w:val="22"/>
        </w:rPr>
        <w:lastRenderedPageBreak/>
        <w:t xml:space="preserve">limón (19,1 por ciento), mango (38,2 por ciento) y plátano (8,3 por ciento), principalmente motivados por una menor oferta relativa. </w:t>
      </w:r>
    </w:p>
    <w:p w:rsidR="00D804CE" w:rsidRDefault="00D804CE" w:rsidP="00D804CE">
      <w:pPr>
        <w:rPr>
          <w:sz w:val="22"/>
          <w:szCs w:val="22"/>
        </w:rPr>
      </w:pPr>
    </w:p>
    <w:p w:rsidR="00D61BDC" w:rsidRDefault="00D61BDC" w:rsidP="00D61BDC">
      <w:pPr>
        <w:rPr>
          <w:sz w:val="22"/>
          <w:szCs w:val="22"/>
        </w:rPr>
        <w:sectPr w:rsidR="00D61BDC">
          <w:headerReference w:type="default" r:id="rId34"/>
          <w:footerReference w:type="default" r:id="rId35"/>
          <w:type w:val="continuous"/>
          <w:pgSz w:w="11906" w:h="16838"/>
          <w:pgMar w:top="1418" w:right="1701" w:bottom="1276" w:left="1701" w:header="720" w:footer="720" w:gutter="0"/>
          <w:cols w:num="2" w:space="709"/>
        </w:sectPr>
      </w:pPr>
    </w:p>
    <w:p w:rsidR="00D61BDC" w:rsidRDefault="00D61BDC" w:rsidP="00D61BDC">
      <w:pPr>
        <w:pStyle w:val="Textoindependiente2"/>
        <w:rPr>
          <w:sz w:val="22"/>
        </w:rPr>
      </w:pPr>
    </w:p>
    <w:p w:rsidR="00100434" w:rsidRDefault="00100434" w:rsidP="00D61BDC">
      <w:pPr>
        <w:pStyle w:val="Textoindependiente2"/>
        <w:tabs>
          <w:tab w:val="right" w:pos="8460"/>
        </w:tabs>
      </w:pPr>
    </w:p>
    <w:p w:rsidR="00A3588F" w:rsidRDefault="00165A89" w:rsidP="00D61BDC">
      <w:pPr>
        <w:pStyle w:val="Textoindependiente2"/>
        <w:tabs>
          <w:tab w:val="right" w:pos="8460"/>
        </w:tabs>
        <w:sectPr w:rsidR="00A3588F">
          <w:type w:val="continuous"/>
          <w:pgSz w:w="11906" w:h="16838"/>
          <w:pgMar w:top="1418" w:right="1701" w:bottom="1276" w:left="1701" w:header="720" w:footer="720" w:gutter="0"/>
          <w:cols w:space="720"/>
        </w:sectPr>
      </w:pPr>
      <w:r>
        <w:rPr>
          <w:noProof/>
          <w:lang w:val="es-PE" w:eastAsia="es-PE"/>
        </w:rPr>
        <w:drawing>
          <wp:anchor distT="0" distB="0" distL="114300" distR="114300" simplePos="0" relativeHeight="251696640" behindDoc="0" locked="0" layoutInCell="1" allowOverlap="1">
            <wp:simplePos x="0" y="0"/>
            <wp:positionH relativeFrom="column">
              <wp:posOffset>3025140</wp:posOffset>
            </wp:positionH>
            <wp:positionV relativeFrom="paragraph">
              <wp:posOffset>417830</wp:posOffset>
            </wp:positionV>
            <wp:extent cx="2295525" cy="2457450"/>
            <wp:effectExtent l="19050" t="0" r="9525" b="0"/>
            <wp:wrapSquare wrapText="bothSides"/>
            <wp:docPr id="1502" name="Imagen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36" cstate="print"/>
                    <a:srcRect/>
                    <a:stretch>
                      <a:fillRect/>
                    </a:stretch>
                  </pic:blipFill>
                  <pic:spPr bwMode="auto">
                    <a:xfrm>
                      <a:off x="0" y="0"/>
                      <a:ext cx="2295525" cy="2457450"/>
                    </a:xfrm>
                    <a:prstGeom prst="rect">
                      <a:avLst/>
                    </a:prstGeom>
                    <a:noFill/>
                    <a:ln w="9525">
                      <a:noFill/>
                      <a:miter lim="800000"/>
                      <a:headEnd/>
                      <a:tailEnd/>
                    </a:ln>
                  </pic:spPr>
                </pic:pic>
              </a:graphicData>
            </a:graphic>
          </wp:anchor>
        </w:drawing>
      </w:r>
      <w:r>
        <w:object w:dxaOrig="4407" w:dyaOrig="6036">
          <v:shape id="_x0000_i1028" type="#_x0000_t75" style="width:210pt;height:311.25pt" o:ole="">
            <v:imagedata r:id="rId37" o:title=""/>
            <o:lock v:ext="edit" aspectratio="f"/>
          </v:shape>
          <o:OLEObject Type="Embed" ProgID="Excel.Sheet.12" ShapeID="_x0000_i1028" DrawAspect="Content" ObjectID="_1388566665" r:id="rId38"/>
        </w:object>
      </w:r>
      <w:r w:rsidR="00401ADA">
        <w:t xml:space="preserve"> </w: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165A89" w:rsidP="00D61BDC">
      <w:pPr>
        <w:pStyle w:val="Textoindependiente2"/>
        <w:jc w:val="center"/>
        <w:rPr>
          <w:rFonts w:ascii="Helvetica" w:hAnsi="Helvetica"/>
          <w:sz w:val="22"/>
          <w:szCs w:val="22"/>
        </w:rPr>
      </w:pPr>
      <w:r w:rsidRPr="008F36D3">
        <w:rPr>
          <w:rFonts w:ascii="Helvetica" w:hAnsi="Helvetica"/>
          <w:sz w:val="22"/>
          <w:szCs w:val="22"/>
        </w:rPr>
        <w:object w:dxaOrig="5449" w:dyaOrig="3237">
          <v:shape id="_x0000_i1029" type="#_x0000_t75" style="width:259.5pt;height:168.75pt" o:ole="">
            <v:imagedata r:id="rId39" o:title=""/>
            <o:lock v:ext="edit" aspectratio="f"/>
          </v:shape>
          <o:OLEObject Type="Embed" ProgID="Excel.Sheet.12" ShapeID="_x0000_i1029" DrawAspect="Content" ObjectID="_1388566666" r:id="rId40"/>
        </w:object>
      </w:r>
    </w:p>
    <w:p w:rsidR="00D61BDC" w:rsidRDefault="00D61BDC" w:rsidP="00D61BDC">
      <w:pPr>
        <w:pStyle w:val="Textoindependiente"/>
        <w:rPr>
          <w:rFonts w:ascii="Times" w:hAnsi="Times" w:cs="Times"/>
          <w:sz w:val="22"/>
          <w:szCs w:val="22"/>
        </w:rPr>
      </w:pP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sectPr w:rsidR="00675AA8">
          <w:type w:val="continuous"/>
          <w:pgSz w:w="11906" w:h="16838"/>
          <w:pgMar w:top="1418" w:right="1701" w:bottom="1276" w:left="1701" w:header="720" w:footer="720" w:gutter="0"/>
          <w:cols w:space="720"/>
        </w:sectPr>
      </w:pPr>
    </w:p>
    <w:p w:rsidR="00165A89" w:rsidRDefault="00165A89" w:rsidP="00165A89">
      <w:pPr>
        <w:pStyle w:val="Textoindependiente"/>
        <w:rPr>
          <w:rFonts w:ascii="Times" w:hAnsi="Times" w:cs="Times"/>
          <w:sz w:val="22"/>
          <w:szCs w:val="22"/>
        </w:rPr>
      </w:pPr>
      <w:r>
        <w:rPr>
          <w:rFonts w:ascii="Times" w:hAnsi="Times" w:cs="Times"/>
          <w:sz w:val="22"/>
          <w:szCs w:val="22"/>
        </w:rPr>
        <w:lastRenderedPageBreak/>
        <w:t xml:space="preserve">En este mes, el </w:t>
      </w:r>
      <w:r>
        <w:rPr>
          <w:rFonts w:ascii="Times" w:hAnsi="Times" w:cs="Times"/>
          <w:b/>
          <w:sz w:val="22"/>
          <w:szCs w:val="22"/>
        </w:rPr>
        <w:t>área</w:t>
      </w:r>
      <w:r w:rsidRPr="00155681">
        <w:rPr>
          <w:rFonts w:ascii="Times" w:hAnsi="Times" w:cs="Times"/>
          <w:b/>
          <w:sz w:val="22"/>
          <w:szCs w:val="22"/>
        </w:rPr>
        <w:t xml:space="preserve"> sembrada</w:t>
      </w:r>
      <w:r>
        <w:rPr>
          <w:rFonts w:ascii="Times" w:hAnsi="Times" w:cs="Times"/>
          <w:sz w:val="22"/>
          <w:szCs w:val="22"/>
        </w:rPr>
        <w:t xml:space="preserve"> de cultivos transitorios se incrementó en </w:t>
      </w:r>
      <w:r w:rsidRPr="00AF2083">
        <w:rPr>
          <w:rFonts w:ascii="Times" w:hAnsi="Times" w:cs="Times"/>
          <w:sz w:val="22"/>
          <w:szCs w:val="22"/>
        </w:rPr>
        <w:t>5,5</w:t>
      </w:r>
      <w:r>
        <w:rPr>
          <w:rFonts w:ascii="Times" w:hAnsi="Times" w:cs="Times"/>
          <w:sz w:val="22"/>
          <w:szCs w:val="22"/>
        </w:rPr>
        <w:t xml:space="preserve"> por ciento con relación a igual período del año anterior. Fue determinante la expansión en la superficie instalada de frijol grano seco (16,6 por ciento) y maíz amarillo duro (226,2 por ciento).</w:t>
      </w:r>
    </w:p>
    <w:p w:rsidR="00165A89" w:rsidRDefault="00165A89" w:rsidP="00165A89">
      <w:pPr>
        <w:pStyle w:val="Textoindependiente"/>
        <w:rPr>
          <w:rFonts w:ascii="Times" w:hAnsi="Times" w:cs="Times"/>
          <w:sz w:val="22"/>
          <w:szCs w:val="22"/>
        </w:rPr>
      </w:pPr>
    </w:p>
    <w:p w:rsidR="00D804CE" w:rsidRDefault="00165A89" w:rsidP="00165A89">
      <w:pPr>
        <w:pStyle w:val="Textoindependiente"/>
        <w:rPr>
          <w:rFonts w:ascii="Times" w:hAnsi="Times" w:cs="Times"/>
          <w:sz w:val="22"/>
          <w:szCs w:val="22"/>
        </w:rPr>
      </w:pPr>
      <w:r>
        <w:rPr>
          <w:rFonts w:ascii="Times" w:hAnsi="Times" w:cs="Times"/>
          <w:sz w:val="22"/>
          <w:szCs w:val="22"/>
        </w:rPr>
        <w:t xml:space="preserve"> Las condiciones hídricas vienen favoreciendo el desarrollo de la campaña </w:t>
      </w:r>
      <w:r>
        <w:rPr>
          <w:rFonts w:ascii="Times" w:hAnsi="Times" w:cs="Times"/>
          <w:sz w:val="22"/>
          <w:szCs w:val="22"/>
        </w:rPr>
        <w:lastRenderedPageBreak/>
        <w:t>agrícola, habida cuenta de que los reservorios de Poechos y San Lorenzo mostraron repuntes del 104,4 y 62,9 por ciento en su disponibilidad de agua  respecto de noviembre del 2010. En este contexto, en lo que va de la campaña (agosto-noviembre) se observa un aumento del 5,0 del por ciento en la superficie ejecutada respecto de similar lapso del año anterior.</w:t>
      </w:r>
    </w:p>
    <w:p w:rsidR="00D804CE" w:rsidRDefault="00D804CE" w:rsidP="00D804CE">
      <w:pPr>
        <w:pStyle w:val="Textoindependiente"/>
        <w:rPr>
          <w:rFonts w:ascii="Times" w:hAnsi="Times" w:cs="Times"/>
          <w:sz w:val="22"/>
          <w:szCs w:val="22"/>
        </w:rPr>
        <w:sectPr w:rsidR="00D804CE" w:rsidSect="00DD1094">
          <w:type w:val="continuous"/>
          <w:pgSz w:w="11906" w:h="16838"/>
          <w:pgMar w:top="1418" w:right="1701" w:bottom="1276" w:left="1701" w:header="720" w:footer="720" w:gutter="0"/>
          <w:cols w:num="2" w:space="709"/>
        </w:sectPr>
      </w:pPr>
    </w:p>
    <w:p w:rsidR="00401ADA" w:rsidRDefault="00401ADA" w:rsidP="00401ADA">
      <w:pPr>
        <w:pStyle w:val="Textoindependiente"/>
        <w:rPr>
          <w:rFonts w:ascii="Times" w:hAnsi="Times" w:cs="Times"/>
          <w:sz w:val="22"/>
          <w:szCs w:val="22"/>
        </w:rPr>
      </w:pPr>
    </w:p>
    <w:p w:rsidR="00D61BDC" w:rsidRDefault="00D61BDC" w:rsidP="00D61BDC">
      <w:pPr>
        <w:pStyle w:val="Textoindependiente"/>
        <w:rPr>
          <w:rFonts w:ascii="Times New Roman" w:hAnsi="Times New Roman"/>
          <w:sz w:val="22"/>
        </w:rPr>
        <w:sectPr w:rsidR="00D61BDC">
          <w:type w:val="continuous"/>
          <w:pgSz w:w="11906" w:h="16838"/>
          <w:pgMar w:top="1418" w:right="1701" w:bottom="1276" w:left="1701" w:header="720" w:footer="720" w:gutter="0"/>
          <w:cols w:num="2" w:space="709"/>
        </w:sectPr>
      </w:pPr>
    </w:p>
    <w:p w:rsidR="00D61BDC" w:rsidRDefault="00D61BDC" w:rsidP="00D61BDC">
      <w:pPr>
        <w:pStyle w:val="Textoindependiente"/>
        <w:tabs>
          <w:tab w:val="right" w:pos="8460"/>
        </w:tabs>
        <w:jc w:val="center"/>
      </w:pPr>
    </w:p>
    <w:p w:rsidR="00216A75" w:rsidRDefault="00165A89" w:rsidP="00D61BDC">
      <w:pPr>
        <w:pStyle w:val="Textoindependiente"/>
        <w:tabs>
          <w:tab w:val="right" w:pos="8460"/>
        </w:tabs>
        <w:jc w:val="center"/>
      </w:pPr>
      <w:r>
        <w:object w:dxaOrig="7155" w:dyaOrig="6715">
          <v:shape id="_x0000_i1030" type="#_x0000_t75" style="width:340.5pt;height:346.5pt" o:ole="">
            <v:imagedata r:id="rId41" o:title=""/>
            <o:lock v:ext="edit" aspectratio="f"/>
          </v:shape>
          <o:OLEObject Type="Embed" ProgID="Excel.Sheet.12" ShapeID="_x0000_i1030" DrawAspect="Content" ObjectID="_1388566667" r:id="rId42"/>
        </w:object>
      </w:r>
    </w:p>
    <w:p w:rsidR="00D61BDC" w:rsidRDefault="00D61BDC" w:rsidP="00D61BDC">
      <w:pPr>
        <w:pStyle w:val="Textoindependiente"/>
        <w:tabs>
          <w:tab w:val="right" w:pos="8460"/>
        </w:tabs>
        <w:jc w:val="center"/>
        <w:sectPr w:rsidR="00D61BDC">
          <w:type w:val="continuous"/>
          <w:pgSz w:w="11906" w:h="16838"/>
          <w:pgMar w:top="1418" w:right="1701" w:bottom="1276" w:left="1701" w:header="720" w:footer="720" w:gutter="0"/>
          <w:cols w:space="709"/>
        </w:sectPr>
      </w:pPr>
    </w:p>
    <w:p w:rsidR="00165A89" w:rsidRDefault="00D61BDC" w:rsidP="00165A89">
      <w:pPr>
        <w:rPr>
          <w:sz w:val="22"/>
        </w:rPr>
        <w:sectPr w:rsidR="00165A89" w:rsidSect="00165A89">
          <w:type w:val="continuous"/>
          <w:pgSz w:w="11906" w:h="16838"/>
          <w:pgMar w:top="1418" w:right="1701" w:bottom="1276" w:left="1701" w:header="720" w:footer="720" w:gutter="0"/>
          <w:cols w:num="2" w:space="709"/>
        </w:sectPr>
      </w:pPr>
      <w:r>
        <w:rPr>
          <w:sz w:val="22"/>
        </w:rPr>
        <w:lastRenderedPageBreak/>
        <w:br w:type="page"/>
      </w:r>
    </w:p>
    <w:p w:rsidR="00165A89" w:rsidRDefault="00165A89" w:rsidP="00165A89">
      <w:pPr>
        <w:rPr>
          <w:sz w:val="22"/>
        </w:rPr>
        <w:sectPr w:rsidR="00165A89" w:rsidSect="00165A89">
          <w:type w:val="continuous"/>
          <w:pgSz w:w="11906" w:h="16838"/>
          <w:pgMar w:top="1418" w:right="1701" w:bottom="1276" w:left="1701" w:header="720" w:footer="720" w:gutter="0"/>
          <w:cols w:num="2" w:space="709"/>
        </w:sectPr>
      </w:pPr>
      <w:r>
        <w:rPr>
          <w:sz w:val="22"/>
        </w:rPr>
        <w:lastRenderedPageBreak/>
        <w:t xml:space="preserve">En este mes, el subsector pecuario se expandió en 10,5 por ciento con relación a noviembre del 2010. Esto respondió a sustanciales incrementos en la producción </w:t>
      </w:r>
      <w:r>
        <w:rPr>
          <w:sz w:val="22"/>
        </w:rPr>
        <w:lastRenderedPageBreak/>
        <w:t>de carne de porcino (52,9 por ciento), carne de caprino (42,7 por ciento), huevos (55,9 por ciento) y leche (36,2 por ciento).</w:t>
      </w:r>
    </w:p>
    <w:p w:rsidR="00165A89" w:rsidRDefault="00165A89" w:rsidP="00165A89">
      <w:pPr>
        <w:rPr>
          <w:sz w:val="22"/>
        </w:rPr>
      </w:pPr>
    </w:p>
    <w:p w:rsidR="00165A89" w:rsidRDefault="00165A89" w:rsidP="00165A89">
      <w:pPr>
        <w:rPr>
          <w:sz w:val="22"/>
        </w:rPr>
      </w:pPr>
    </w:p>
    <w:p w:rsidR="00165A89" w:rsidRDefault="00165A89" w:rsidP="00165A89">
      <w:pPr>
        <w:rPr>
          <w:sz w:val="22"/>
        </w:rPr>
      </w:pPr>
    </w:p>
    <w:p w:rsidR="00165A89" w:rsidRDefault="00165A89" w:rsidP="00165A89">
      <w:pPr>
        <w:rPr>
          <w:sz w:val="22"/>
        </w:rPr>
        <w:sectPr w:rsidR="00165A89" w:rsidSect="00165A89">
          <w:type w:val="continuous"/>
          <w:pgSz w:w="11906" w:h="16838"/>
          <w:pgMar w:top="1418" w:right="1701" w:bottom="1276" w:left="1701" w:header="720" w:footer="720" w:gutter="0"/>
          <w:cols w:num="2" w:space="709"/>
        </w:sectPr>
      </w:pPr>
    </w:p>
    <w:p w:rsidR="00165A89" w:rsidRDefault="003748DF" w:rsidP="00165A89">
      <w:pPr>
        <w:jc w:val="center"/>
      </w:pPr>
      <w:r>
        <w:object w:dxaOrig="6862" w:dyaOrig="3700">
          <v:shape id="_x0000_i1031" type="#_x0000_t75" style="width:318pt;height:192.75pt" o:ole="">
            <v:imagedata r:id="rId43" o:title=""/>
            <o:lock v:ext="edit" aspectratio="f"/>
          </v:shape>
          <o:OLEObject Type="Embed" ProgID="Excel.Sheet.12" ShapeID="_x0000_i1031" DrawAspect="Content" ObjectID="_1388566668" r:id="rId44"/>
        </w:object>
      </w:r>
    </w:p>
    <w:p w:rsidR="00165A89" w:rsidRDefault="00165A89" w:rsidP="00165A89">
      <w:pPr>
        <w:jc w:val="center"/>
      </w:pPr>
    </w:p>
    <w:p w:rsidR="00165A89" w:rsidRDefault="00165A89" w:rsidP="00165A89">
      <w:pPr>
        <w:jc w:val="center"/>
      </w:pPr>
    </w:p>
    <w:p w:rsidR="00165A89" w:rsidRDefault="003748DF" w:rsidP="00165A89">
      <w:pPr>
        <w:jc w:val="center"/>
      </w:pPr>
      <w:r w:rsidRPr="008F36D3">
        <w:rPr>
          <w:rFonts w:ascii="Helvetica" w:hAnsi="Helvetica"/>
          <w:b/>
          <w:sz w:val="22"/>
          <w:szCs w:val="22"/>
          <w:lang w:val="en-US"/>
        </w:rPr>
        <w:object w:dxaOrig="4518" w:dyaOrig="3234">
          <v:shape id="_x0000_i1032" type="#_x0000_t75" style="width:215.25pt;height:167.25pt" o:ole="">
            <v:imagedata r:id="rId45" o:title=""/>
          </v:shape>
          <o:OLEObject Type="Embed" ProgID="Excel.Sheet.8" ShapeID="_x0000_i1032" DrawAspect="Content" ObjectID="_1388566669" r:id="rId46"/>
        </w:object>
      </w:r>
    </w:p>
    <w:p w:rsidR="00165A89" w:rsidRDefault="00165A89" w:rsidP="00165A89">
      <w:pPr>
        <w:jc w:val="center"/>
      </w:pPr>
    </w:p>
    <w:p w:rsidR="00165A89" w:rsidRDefault="00165A89" w:rsidP="00165A89">
      <w:pPr>
        <w:jc w:val="center"/>
      </w:pPr>
    </w:p>
    <w:p w:rsidR="00165A89" w:rsidRDefault="003748DF" w:rsidP="00165A89">
      <w:pPr>
        <w:jc w:val="center"/>
        <w:rPr>
          <w:lang w:val="es-MX"/>
        </w:rPr>
      </w:pPr>
      <w:r>
        <w:object w:dxaOrig="3805" w:dyaOrig="3482">
          <v:shape id="_x0000_i1033" type="#_x0000_t75" style="width:180.75pt;height:179.25pt" o:ole="">
            <v:imagedata r:id="rId47" o:title=""/>
            <o:lock v:ext="edit" aspectratio="f"/>
          </v:shape>
          <o:OLEObject Type="Embed" ProgID="Excel.Sheet.8" ShapeID="_x0000_i1033" DrawAspect="Content" ObjectID="_1388566670" r:id="rId48"/>
        </w:object>
      </w:r>
      <w:r w:rsidR="00165A89">
        <w:tab/>
      </w:r>
      <w:r>
        <w:object w:dxaOrig="3872" w:dyaOrig="3482">
          <v:shape id="_x0000_i1034" type="#_x0000_t75" style="width:184.5pt;height:178.5pt" o:ole="">
            <v:imagedata r:id="rId49" o:title=""/>
            <o:lock v:ext="edit" aspectratio="f"/>
          </v:shape>
          <o:OLEObject Type="Embed" ProgID="Excel.Sheet.8" ShapeID="_x0000_i1034" DrawAspect="Content" ObjectID="_1388566671" r:id="rId50"/>
        </w:object>
      </w:r>
    </w:p>
    <w:p w:rsidR="00165A89" w:rsidRDefault="00165A89" w:rsidP="00165A89">
      <w:pPr>
        <w:jc w:val="center"/>
        <w:sectPr w:rsidR="00165A89" w:rsidSect="00165A89">
          <w:type w:val="continuous"/>
          <w:pgSz w:w="11906" w:h="16838"/>
          <w:pgMar w:top="1418" w:right="1701" w:bottom="1276" w:left="1701" w:header="720" w:footer="720" w:gutter="0"/>
          <w:cols w:space="709"/>
        </w:sectPr>
      </w:pPr>
    </w:p>
    <w:p w:rsidR="00D61BDC" w:rsidRDefault="00D61BDC" w:rsidP="00D61BDC">
      <w:pPr>
        <w:rPr>
          <w:sz w:val="22"/>
          <w:szCs w:val="22"/>
        </w:rPr>
      </w:pPr>
    </w:p>
    <w:p w:rsidR="00D61BDC" w:rsidRDefault="00D61BDC" w:rsidP="00D61BDC">
      <w:pPr>
        <w:rPr>
          <w:sz w:val="22"/>
          <w:szCs w:val="22"/>
        </w:rPr>
      </w:pPr>
    </w:p>
    <w:p w:rsidR="00703496" w:rsidRDefault="00703496" w:rsidP="00D61BDC">
      <w:pPr>
        <w:rPr>
          <w:sz w:val="22"/>
          <w:szCs w:val="22"/>
        </w:rPr>
      </w:pPr>
    </w:p>
    <w:p w:rsidR="00703496" w:rsidRDefault="00703496" w:rsidP="00D61BDC">
      <w:pPr>
        <w:rPr>
          <w:sz w:val="22"/>
          <w:szCs w:val="22"/>
        </w:rPr>
      </w:pPr>
    </w:p>
    <w:p w:rsidR="00703496" w:rsidRDefault="00703496" w:rsidP="00D61BDC">
      <w:pPr>
        <w:rPr>
          <w:sz w:val="22"/>
          <w:szCs w:val="22"/>
        </w:rPr>
        <w:sectPr w:rsidR="00703496">
          <w:type w:val="continuous"/>
          <w:pgSz w:w="11906" w:h="16838"/>
          <w:pgMar w:top="1418" w:right="1701" w:bottom="1276" w:left="1701" w:header="720" w:footer="720" w:gutter="0"/>
          <w:cols w:num="2" w:space="709"/>
        </w:sectPr>
      </w:pPr>
    </w:p>
    <w:p w:rsidR="00D61BDC" w:rsidRDefault="00D61BDC" w:rsidP="00D61BDC">
      <w:pPr>
        <w:jc w:val="center"/>
      </w:pPr>
    </w:p>
    <w:p w:rsidR="00E50D75" w:rsidRDefault="00E50D75" w:rsidP="00E50D75">
      <w:pPr>
        <w:rPr>
          <w:b/>
        </w:rPr>
      </w:pPr>
      <w:r w:rsidRPr="00207D85">
        <w:rPr>
          <w:b/>
        </w:rPr>
        <w:t>1.1.2. Producción Pesquera</w:t>
      </w:r>
    </w:p>
    <w:p w:rsidR="00852557" w:rsidRDefault="00852557">
      <w:pPr>
        <w:jc w:val="center"/>
        <w:rPr>
          <w:rFonts w:ascii="Arial" w:hAnsi="Arial"/>
          <w:b/>
          <w:highlight w:val="yellow"/>
        </w:rPr>
      </w:pPr>
    </w:p>
    <w:p w:rsidR="00E50D75" w:rsidRDefault="00E50D75" w:rsidP="00E50D75">
      <w:pPr>
        <w:rPr>
          <w:sz w:val="22"/>
        </w:rPr>
        <w:sectPr w:rsidR="00E50D75">
          <w:headerReference w:type="first" r:id="rId51"/>
          <w:footerReference w:type="first" r:id="rId52"/>
          <w:type w:val="continuous"/>
          <w:pgSz w:w="11907" w:h="16840" w:code="9"/>
          <w:pgMar w:top="1701" w:right="1418" w:bottom="1418" w:left="1701" w:header="1134" w:footer="1134" w:gutter="0"/>
          <w:paperSrc w:first="15"/>
          <w:cols w:space="709"/>
          <w:titlePg/>
        </w:sectPr>
      </w:pPr>
    </w:p>
    <w:p w:rsidR="00207D85" w:rsidRDefault="00207D85" w:rsidP="00207D85">
      <w:pPr>
        <w:rPr>
          <w:sz w:val="22"/>
        </w:rPr>
      </w:pPr>
      <w:r w:rsidRPr="00C73844">
        <w:rPr>
          <w:sz w:val="22"/>
        </w:rPr>
        <w:lastRenderedPageBreak/>
        <w:t xml:space="preserve">En </w:t>
      </w:r>
      <w:r>
        <w:rPr>
          <w:sz w:val="22"/>
        </w:rPr>
        <w:t>noviembre</w:t>
      </w:r>
      <w:r w:rsidRPr="00C73844">
        <w:rPr>
          <w:sz w:val="22"/>
        </w:rPr>
        <w:t xml:space="preserve">, la </w:t>
      </w:r>
      <w:r w:rsidRPr="00C73844">
        <w:rPr>
          <w:b/>
          <w:bCs/>
          <w:sz w:val="22"/>
        </w:rPr>
        <w:t xml:space="preserve">producción pesquera </w:t>
      </w:r>
      <w:r>
        <w:rPr>
          <w:sz w:val="22"/>
        </w:rPr>
        <w:t>creci</w:t>
      </w:r>
      <w:r w:rsidRPr="00B70F32">
        <w:rPr>
          <w:sz w:val="22"/>
        </w:rPr>
        <w:t xml:space="preserve">ó </w:t>
      </w:r>
      <w:r>
        <w:rPr>
          <w:sz w:val="22"/>
        </w:rPr>
        <w:t>en</w:t>
      </w:r>
      <w:r w:rsidRPr="00B70F32">
        <w:rPr>
          <w:sz w:val="22"/>
        </w:rPr>
        <w:t xml:space="preserve"> </w:t>
      </w:r>
      <w:r>
        <w:rPr>
          <w:sz w:val="22"/>
        </w:rPr>
        <w:t xml:space="preserve">29,8 </w:t>
      </w:r>
      <w:r w:rsidRPr="00B70F32">
        <w:rPr>
          <w:sz w:val="22"/>
        </w:rPr>
        <w:t xml:space="preserve">por ciento respecto de igual mes del año anterior; </w:t>
      </w:r>
      <w:r>
        <w:rPr>
          <w:sz w:val="22"/>
        </w:rPr>
        <w:t>básicamente por el des</w:t>
      </w:r>
      <w:r w:rsidRPr="00B70F32">
        <w:rPr>
          <w:sz w:val="22"/>
        </w:rPr>
        <w:t>embarque</w:t>
      </w:r>
      <w:r>
        <w:rPr>
          <w:sz w:val="22"/>
        </w:rPr>
        <w:t xml:space="preserve"> </w:t>
      </w:r>
      <w:r w:rsidRPr="008C7CD8">
        <w:rPr>
          <w:sz w:val="22"/>
        </w:rPr>
        <w:t>de anchoveta</w:t>
      </w:r>
      <w:r>
        <w:rPr>
          <w:sz w:val="22"/>
        </w:rPr>
        <w:t xml:space="preserve"> para la elaboración de harina y aceite y por la mayor extracción para consumo en estado fresco (76,5 por ciento), lo que contrarrestó la caída en congelado (-14,1 por ciento) y enlatado   (-40,7 por ciento).</w:t>
      </w:r>
    </w:p>
    <w:p w:rsidR="00207D85" w:rsidRDefault="00207D85" w:rsidP="00207D85">
      <w:pPr>
        <w:rPr>
          <w:sz w:val="22"/>
        </w:rPr>
      </w:pPr>
    </w:p>
    <w:p w:rsidR="00207D85" w:rsidRDefault="00207D85" w:rsidP="00207D85">
      <w:pPr>
        <w:rPr>
          <w:sz w:val="22"/>
        </w:rPr>
      </w:pPr>
      <w:r>
        <w:rPr>
          <w:sz w:val="22"/>
        </w:rPr>
        <w:t xml:space="preserve">Cabe señalar que el </w:t>
      </w:r>
      <w:r w:rsidRPr="00C80430">
        <w:rPr>
          <w:sz w:val="22"/>
        </w:rPr>
        <w:t xml:space="preserve">desembarque </w:t>
      </w:r>
      <w:r>
        <w:rPr>
          <w:sz w:val="22"/>
        </w:rPr>
        <w:t>de anchoveta fue</w:t>
      </w:r>
      <w:r w:rsidRPr="00C80430">
        <w:rPr>
          <w:sz w:val="22"/>
        </w:rPr>
        <w:t xml:space="preserve"> intensivo</w:t>
      </w:r>
      <w:r>
        <w:rPr>
          <w:sz w:val="22"/>
        </w:rPr>
        <w:t>, observándose</w:t>
      </w:r>
      <w:r w:rsidRPr="00C80430">
        <w:rPr>
          <w:sz w:val="22"/>
        </w:rPr>
        <w:t xml:space="preserve"> abundante biomasa y especies de talla superior a los 13,5 cm. (12 cm. es la autorizada)</w:t>
      </w:r>
      <w:r>
        <w:rPr>
          <w:sz w:val="22"/>
        </w:rPr>
        <w:t>,</w:t>
      </w:r>
      <w:r w:rsidRPr="00C80430">
        <w:rPr>
          <w:sz w:val="22"/>
        </w:rPr>
        <w:t xml:space="preserve"> so</w:t>
      </w:r>
      <w:r>
        <w:rPr>
          <w:sz w:val="22"/>
        </w:rPr>
        <w:t xml:space="preserve">bre todo en Sechura. </w:t>
      </w:r>
      <w:r w:rsidRPr="00C80430">
        <w:rPr>
          <w:sz w:val="22"/>
        </w:rPr>
        <w:t xml:space="preserve">En </w:t>
      </w:r>
      <w:r>
        <w:rPr>
          <w:sz w:val="22"/>
        </w:rPr>
        <w:t>esta misma zona</w:t>
      </w:r>
      <w:r w:rsidRPr="00C80430">
        <w:rPr>
          <w:sz w:val="22"/>
        </w:rPr>
        <w:t xml:space="preserve">, los pescadores se encuentran </w:t>
      </w:r>
      <w:r w:rsidRPr="00C80430">
        <w:rPr>
          <w:sz w:val="22"/>
        </w:rPr>
        <w:lastRenderedPageBreak/>
        <w:t xml:space="preserve">abocados </w:t>
      </w:r>
      <w:r>
        <w:rPr>
          <w:sz w:val="22"/>
        </w:rPr>
        <w:t>al abastecimiento de</w:t>
      </w:r>
      <w:r w:rsidRPr="00C80430">
        <w:rPr>
          <w:sz w:val="22"/>
        </w:rPr>
        <w:t xml:space="preserve"> semilleros de conchas de abanico</w:t>
      </w:r>
      <w:r>
        <w:rPr>
          <w:sz w:val="22"/>
        </w:rPr>
        <w:t>, t</w:t>
      </w:r>
      <w:r w:rsidRPr="00C80430">
        <w:rPr>
          <w:sz w:val="22"/>
        </w:rPr>
        <w:t xml:space="preserve">area que realizan </w:t>
      </w:r>
      <w:r>
        <w:rPr>
          <w:sz w:val="22"/>
        </w:rPr>
        <w:t xml:space="preserve">habitualmente por esta época del año </w:t>
      </w:r>
      <w:r w:rsidRPr="00C80430">
        <w:rPr>
          <w:sz w:val="22"/>
        </w:rPr>
        <w:t>dado que los factores oceanográficos son favorables.</w:t>
      </w:r>
      <w:r>
        <w:rPr>
          <w:sz w:val="22"/>
        </w:rPr>
        <w:t xml:space="preserve"> En contraste, la </w:t>
      </w:r>
      <w:r w:rsidRPr="00C80430">
        <w:rPr>
          <w:sz w:val="22"/>
        </w:rPr>
        <w:t>pota</w:t>
      </w:r>
      <w:r>
        <w:rPr>
          <w:sz w:val="22"/>
        </w:rPr>
        <w:t xml:space="preserve"> sigue  escasa.</w:t>
      </w:r>
    </w:p>
    <w:p w:rsidR="00207D85" w:rsidRDefault="00207D85" w:rsidP="00207D85">
      <w:pPr>
        <w:rPr>
          <w:sz w:val="22"/>
        </w:rPr>
      </w:pPr>
    </w:p>
    <w:p w:rsidR="00207D85" w:rsidRDefault="00207D85" w:rsidP="00207D85">
      <w:pPr>
        <w:rPr>
          <w:sz w:val="22"/>
        </w:rPr>
        <w:sectPr w:rsidR="00207D85" w:rsidSect="00207D85">
          <w:type w:val="continuous"/>
          <w:pgSz w:w="11907" w:h="16840" w:code="9"/>
          <w:pgMar w:top="1701" w:right="1418" w:bottom="1418" w:left="1701" w:header="1134" w:footer="1134" w:gutter="0"/>
          <w:paperSrc w:first="15"/>
          <w:cols w:num="2" w:space="709"/>
          <w:titlePg/>
        </w:sectPr>
      </w:pPr>
      <w:r>
        <w:rPr>
          <w:sz w:val="22"/>
        </w:rPr>
        <w:t>En el período enero-noviembre, el sector creció en 25,8 por ciento en relación con análogo lapso del año pasado. Se registró recuperación en todos los rubros de pesca, habida cuenta de que el año anterior estuvo afectado por la presencia de un fenómeno de La Niña de relativa intensidad, el cual se repitió este año en una magnitud más moderada.</w:t>
      </w:r>
    </w:p>
    <w:p w:rsidR="00207D85" w:rsidRDefault="00207D85" w:rsidP="00207D85">
      <w:pPr>
        <w:rPr>
          <w:sz w:val="22"/>
        </w:rPr>
      </w:pPr>
    </w:p>
    <w:p w:rsidR="009F1C8C" w:rsidRPr="00C861E7" w:rsidRDefault="009F1C8C" w:rsidP="009F1C8C">
      <w:pPr>
        <w:rPr>
          <w:sz w:val="22"/>
        </w:rPr>
      </w:pPr>
      <w:r>
        <w:rPr>
          <w:sz w:val="22"/>
        </w:rPr>
        <w:lastRenderedPageBreak/>
        <w:t xml:space="preserve"> </w:t>
      </w:r>
    </w:p>
    <w:p w:rsidR="00C549EE" w:rsidRDefault="00C549EE" w:rsidP="00C549EE">
      <w:pPr>
        <w:rPr>
          <w:sz w:val="22"/>
        </w:rPr>
        <w:sectPr w:rsidR="00C549EE" w:rsidSect="00C549EE">
          <w:type w:val="continuous"/>
          <w:pgSz w:w="11907" w:h="16840" w:code="9"/>
          <w:pgMar w:top="1701" w:right="1418" w:bottom="1418" w:left="1701" w:header="1134" w:footer="1134" w:gutter="0"/>
          <w:paperSrc w:first="15"/>
          <w:cols w:num="2" w:space="709"/>
          <w:titlePg/>
        </w:sectPr>
      </w:pPr>
    </w:p>
    <w:p w:rsidR="00C549EE" w:rsidRPr="00C861E7" w:rsidRDefault="00C549EE" w:rsidP="00C549EE">
      <w:pPr>
        <w:rPr>
          <w:sz w:val="22"/>
        </w:rPr>
      </w:pPr>
    </w:p>
    <w:p w:rsidR="00E50D75" w:rsidRDefault="00E50D75">
      <w:pPr>
        <w:jc w:val="center"/>
        <w:rPr>
          <w:highlight w:val="yellow"/>
        </w:rPr>
      </w:pPr>
    </w:p>
    <w:p w:rsidR="00852557" w:rsidRDefault="00207D85" w:rsidP="00E50D75">
      <w:pPr>
        <w:jc w:val="center"/>
        <w:rPr>
          <w:sz w:val="22"/>
        </w:rPr>
      </w:pPr>
      <w:r w:rsidRPr="00AA68C5">
        <w:rPr>
          <w:b/>
        </w:rPr>
        <w:object w:dxaOrig="8843" w:dyaOrig="4768">
          <v:shape id="_x0000_i1035" type="#_x0000_t75" style="width:430.5pt;height:232.5pt" o:ole="">
            <v:imagedata r:id="rId53" o:title=""/>
          </v:shape>
          <o:OLEObject Type="Embed" ProgID="Excel.Sheet.12" ShapeID="_x0000_i1035" DrawAspect="Content" ObjectID="_1388566672" r:id="rId54"/>
        </w:object>
      </w:r>
      <w:r w:rsidR="00BC7159">
        <w:rPr>
          <w:b/>
          <w:highlight w:val="yellow"/>
        </w:rPr>
        <w:br w:type="page"/>
      </w:r>
    </w:p>
    <w:p w:rsidR="00E50D75" w:rsidRDefault="00E50D75" w:rsidP="00E50D75">
      <w:pPr>
        <w:rPr>
          <w:sz w:val="22"/>
        </w:rPr>
        <w:sectPr w:rsidR="00E50D75">
          <w:type w:val="continuous"/>
          <w:pgSz w:w="11907" w:h="16840" w:code="9"/>
          <w:pgMar w:top="1701" w:right="1418" w:bottom="1418" w:left="1701" w:header="1134" w:footer="1134" w:gutter="0"/>
          <w:paperSrc w:first="15"/>
          <w:cols w:space="709"/>
          <w:titlePg/>
        </w:sectPr>
      </w:pPr>
    </w:p>
    <w:p w:rsidR="00E50D75" w:rsidRDefault="00DC1AE9" w:rsidP="00E50D75">
      <w:pPr>
        <w:rPr>
          <w:b/>
        </w:rPr>
      </w:pPr>
      <w:r w:rsidRPr="00875FDF">
        <w:rPr>
          <w:b/>
        </w:rPr>
        <w:lastRenderedPageBreak/>
        <w:t>1</w:t>
      </w:r>
      <w:r w:rsidR="00E50D75" w:rsidRPr="00875FDF">
        <w:rPr>
          <w:b/>
        </w:rPr>
        <w:t>.1.3 Hidrocarburos</w:t>
      </w:r>
    </w:p>
    <w:p w:rsidR="00852557" w:rsidRDefault="00852557">
      <w:pPr>
        <w:rPr>
          <w:b/>
        </w:rPr>
      </w:pPr>
    </w:p>
    <w:p w:rsidR="00852557" w:rsidRDefault="00852557">
      <w:pPr>
        <w:rPr>
          <w:color w:val="FF0000"/>
          <w:sz w:val="22"/>
        </w:rPr>
      </w:pPr>
    </w:p>
    <w:p w:rsidR="00852557" w:rsidRDefault="00852557">
      <w:pPr>
        <w:rPr>
          <w:sz w:val="22"/>
        </w:rPr>
        <w:sectPr w:rsidR="00852557" w:rsidSect="00E50D75">
          <w:headerReference w:type="default" r:id="rId55"/>
          <w:footerReference w:type="default" r:id="rId56"/>
          <w:type w:val="continuous"/>
          <w:pgSz w:w="11907" w:h="16840" w:code="9"/>
          <w:pgMar w:top="1701" w:right="1418" w:bottom="1418" w:left="1701" w:header="1134" w:footer="1134" w:gutter="0"/>
          <w:paperSrc w:first="15"/>
          <w:cols w:num="2" w:space="720"/>
          <w:titlePg/>
        </w:sectPr>
      </w:pPr>
    </w:p>
    <w:p w:rsidR="00852557" w:rsidRDefault="00852557">
      <w:pPr>
        <w:pStyle w:val="SBS"/>
        <w:rPr>
          <w:rFonts w:ascii="Times New Roman" w:hAnsi="Times New Roman"/>
          <w:lang w:val="es-ES"/>
        </w:rPr>
      </w:pPr>
      <w:r>
        <w:rPr>
          <w:rFonts w:ascii="Times New Roman" w:hAnsi="Times New Roman"/>
          <w:lang w:val="es-ES"/>
        </w:rPr>
        <w:lastRenderedPageBreak/>
        <w:t xml:space="preserve">En </w:t>
      </w:r>
      <w:r w:rsidR="00094770">
        <w:rPr>
          <w:rFonts w:ascii="Times New Roman" w:hAnsi="Times New Roman"/>
          <w:lang w:val="es-ES"/>
        </w:rPr>
        <w:t>noviembre</w:t>
      </w:r>
      <w:r>
        <w:rPr>
          <w:rFonts w:ascii="Times New Roman" w:hAnsi="Times New Roman"/>
          <w:lang w:val="es-ES"/>
        </w:rPr>
        <w:t xml:space="preserve">, la producción de hidrocarburos creció </w:t>
      </w:r>
      <w:r w:rsidR="00094770">
        <w:rPr>
          <w:rFonts w:ascii="Times New Roman" w:hAnsi="Times New Roman"/>
          <w:lang w:val="es-ES"/>
        </w:rPr>
        <w:t>3</w:t>
      </w:r>
      <w:r w:rsidR="00875FDF">
        <w:rPr>
          <w:rFonts w:ascii="Times New Roman" w:hAnsi="Times New Roman"/>
          <w:lang w:val="es-ES"/>
        </w:rPr>
        <w:t>,</w:t>
      </w:r>
      <w:r w:rsidR="00094770">
        <w:rPr>
          <w:rFonts w:ascii="Times New Roman" w:hAnsi="Times New Roman"/>
          <w:lang w:val="es-ES"/>
        </w:rPr>
        <w:t>9</w:t>
      </w:r>
      <w:r>
        <w:rPr>
          <w:rFonts w:ascii="Times New Roman" w:hAnsi="Times New Roman"/>
          <w:lang w:val="es-ES"/>
        </w:rPr>
        <w:t xml:space="preserve"> por ciento en comparación con 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10</w:t>
      </w:r>
      <w:r w:rsidR="00094770">
        <w:rPr>
          <w:rFonts w:ascii="Times New Roman" w:hAnsi="Times New Roman"/>
          <w:lang w:val="es-ES"/>
        </w:rPr>
        <w:t>. E</w:t>
      </w:r>
      <w:r>
        <w:rPr>
          <w:rFonts w:ascii="Times New Roman" w:hAnsi="Times New Roman"/>
          <w:lang w:val="es-ES"/>
        </w:rPr>
        <w:t>sto obedeció  a la m</w:t>
      </w:r>
      <w:r w:rsidR="00094770">
        <w:rPr>
          <w:rFonts w:ascii="Times New Roman" w:hAnsi="Times New Roman"/>
          <w:lang w:val="es-ES"/>
        </w:rPr>
        <w:t>ayor</w:t>
      </w:r>
      <w:r>
        <w:rPr>
          <w:rFonts w:ascii="Times New Roman" w:hAnsi="Times New Roman"/>
          <w:lang w:val="es-ES"/>
        </w:rPr>
        <w:t xml:space="preserve"> extracción de </w:t>
      </w:r>
      <w:r w:rsidR="004872E8">
        <w:rPr>
          <w:rFonts w:ascii="Times New Roman" w:hAnsi="Times New Roman"/>
          <w:lang w:val="es-ES"/>
        </w:rPr>
        <w:t>petróleo crudo</w:t>
      </w:r>
      <w:r w:rsidR="00FF07C0">
        <w:rPr>
          <w:rFonts w:ascii="Times New Roman" w:hAnsi="Times New Roman"/>
          <w:lang w:val="es-ES"/>
        </w:rPr>
        <w:t xml:space="preserve"> (</w:t>
      </w:r>
      <w:r w:rsidR="00094770">
        <w:rPr>
          <w:rFonts w:ascii="Times New Roman" w:hAnsi="Times New Roman"/>
          <w:lang w:val="es-ES"/>
        </w:rPr>
        <w:t>5,7</w:t>
      </w:r>
      <w:r w:rsidR="00FF07C0">
        <w:rPr>
          <w:rFonts w:ascii="Times New Roman" w:hAnsi="Times New Roman"/>
          <w:lang w:val="es-ES"/>
        </w:rPr>
        <w:t xml:space="preserve"> por ciento)</w:t>
      </w:r>
      <w:r w:rsidR="00094770">
        <w:rPr>
          <w:rFonts w:ascii="Times New Roman" w:hAnsi="Times New Roman"/>
          <w:lang w:val="es-ES"/>
        </w:rPr>
        <w:t xml:space="preserve"> que compensó con creces la caída en </w:t>
      </w:r>
      <w:r w:rsidR="004872E8">
        <w:rPr>
          <w:rFonts w:ascii="Times New Roman" w:hAnsi="Times New Roman"/>
          <w:lang w:val="es-ES"/>
        </w:rPr>
        <w:t>gas natural (</w:t>
      </w:r>
      <w:r w:rsidR="00875FDF">
        <w:rPr>
          <w:rFonts w:ascii="Times New Roman" w:hAnsi="Times New Roman"/>
          <w:lang w:val="es-ES"/>
        </w:rPr>
        <w:t>-1</w:t>
      </w:r>
      <w:r w:rsidR="00094770">
        <w:rPr>
          <w:rFonts w:ascii="Times New Roman" w:hAnsi="Times New Roman"/>
          <w:lang w:val="es-ES"/>
        </w:rPr>
        <w:t>1</w:t>
      </w:r>
      <w:r w:rsidR="00875FDF">
        <w:rPr>
          <w:rFonts w:ascii="Times New Roman" w:hAnsi="Times New Roman"/>
          <w:lang w:val="es-ES"/>
        </w:rPr>
        <w:t>,</w:t>
      </w:r>
      <w:r w:rsidR="00094770">
        <w:rPr>
          <w:rFonts w:ascii="Times New Roman" w:hAnsi="Times New Roman"/>
          <w:lang w:val="es-ES"/>
        </w:rPr>
        <w:t>6</w:t>
      </w:r>
      <w:r w:rsidR="004872E8">
        <w:rPr>
          <w:rFonts w:ascii="Times New Roman" w:hAnsi="Times New Roman"/>
          <w:lang w:val="es-ES"/>
        </w:rPr>
        <w:t xml:space="preserve"> por ciento)</w:t>
      </w:r>
      <w:r w:rsidR="00094770">
        <w:rPr>
          <w:rFonts w:ascii="Times New Roman" w:hAnsi="Times New Roman"/>
          <w:lang w:val="es-ES"/>
        </w:rPr>
        <w:t xml:space="preserve">; esta última obedeció a un marcado </w:t>
      </w:r>
      <w:r w:rsidR="00094770">
        <w:rPr>
          <w:rFonts w:ascii="Times New Roman" w:hAnsi="Times New Roman"/>
          <w:lang w:val="es-ES"/>
        </w:rPr>
        <w:lastRenderedPageBreak/>
        <w:t>descenso en la empresa Savia (-43,8 por ciento) habida cuenta de que en noviembre del año pasado se alcanzó un pico inusual</w:t>
      </w:r>
      <w:r w:rsidR="005F4C09">
        <w:rPr>
          <w:rFonts w:ascii="Times New Roman" w:hAnsi="Times New Roman"/>
          <w:lang w:val="es-ES"/>
        </w:rPr>
        <w:t xml:space="preserve">. </w:t>
      </w:r>
      <w:r w:rsidR="00094770">
        <w:rPr>
          <w:rFonts w:ascii="Times New Roman" w:hAnsi="Times New Roman"/>
          <w:lang w:val="es-ES"/>
        </w:rPr>
        <w:t>E</w:t>
      </w:r>
      <w:r w:rsidR="005F4C09">
        <w:rPr>
          <w:rFonts w:ascii="Times New Roman" w:hAnsi="Times New Roman"/>
          <w:lang w:val="es-ES"/>
        </w:rPr>
        <w:t xml:space="preserve">n el </w:t>
      </w:r>
      <w:r w:rsidR="00401ADA">
        <w:rPr>
          <w:rFonts w:ascii="Times New Roman" w:hAnsi="Times New Roman"/>
          <w:lang w:val="es-ES"/>
        </w:rPr>
        <w:t>período enero-</w:t>
      </w:r>
      <w:r w:rsidR="00094770">
        <w:rPr>
          <w:rFonts w:ascii="Times New Roman" w:hAnsi="Times New Roman"/>
          <w:lang w:val="es-ES"/>
        </w:rPr>
        <w:t>noviembre</w:t>
      </w:r>
      <w:r w:rsidR="005F4C09">
        <w:rPr>
          <w:rFonts w:ascii="Times New Roman" w:hAnsi="Times New Roman"/>
          <w:lang w:val="es-ES"/>
        </w:rPr>
        <w:t xml:space="preserve">, </w:t>
      </w:r>
      <w:r w:rsidR="003600FD">
        <w:rPr>
          <w:rFonts w:ascii="Times New Roman" w:hAnsi="Times New Roman"/>
          <w:lang w:val="es-ES"/>
        </w:rPr>
        <w:t xml:space="preserve">el sector </w:t>
      </w:r>
      <w:r w:rsidR="005F4C09">
        <w:rPr>
          <w:rFonts w:ascii="Times New Roman" w:hAnsi="Times New Roman"/>
          <w:lang w:val="es-ES"/>
        </w:rPr>
        <w:t xml:space="preserve">se contrajo en </w:t>
      </w:r>
      <w:r w:rsidR="00094770">
        <w:rPr>
          <w:rFonts w:ascii="Times New Roman" w:hAnsi="Times New Roman"/>
          <w:lang w:val="es-ES"/>
        </w:rPr>
        <w:t>0,7</w:t>
      </w:r>
      <w:r w:rsidR="005F4C09">
        <w:rPr>
          <w:rFonts w:ascii="Times New Roman" w:hAnsi="Times New Roman"/>
          <w:lang w:val="es-ES"/>
        </w:rPr>
        <w:t xml:space="preserve"> por ciento</w:t>
      </w:r>
      <w:r w:rsidR="004872E8">
        <w:rPr>
          <w:rFonts w:ascii="Times New Roman" w:hAnsi="Times New Roman"/>
          <w:lang w:val="es-ES"/>
        </w:rPr>
        <w:t xml:space="preserve"> respecto de análogo lapso del año anterior</w:t>
      </w:r>
      <w:r>
        <w:rPr>
          <w:rFonts w:ascii="Times New Roman" w:hAnsi="Times New Roman"/>
          <w:lang w:val="es-ES"/>
        </w:rPr>
        <w:t xml:space="preserve">. </w:t>
      </w:r>
    </w:p>
    <w:p w:rsidR="006062DB" w:rsidRDefault="006062DB">
      <w:pPr>
        <w:pStyle w:val="SBS"/>
        <w:rPr>
          <w:rFonts w:ascii="Times New Roman" w:hAnsi="Times New Roman"/>
          <w:color w:val="FF0000"/>
          <w:lang w:val="es-ES"/>
        </w:rPr>
        <w:sectPr w:rsidR="006062DB" w:rsidSect="006062DB">
          <w:type w:val="continuous"/>
          <w:pgSz w:w="11907" w:h="16840" w:code="9"/>
          <w:pgMar w:top="1701" w:right="1418" w:bottom="1418" w:left="1701" w:header="1134" w:footer="1134" w:gutter="0"/>
          <w:paperSrc w:first="15"/>
          <w:cols w:num="2" w:space="720"/>
          <w:titlePg/>
        </w:sectPr>
      </w:pPr>
    </w:p>
    <w:p w:rsidR="00852557" w:rsidRDefault="00852557">
      <w:pPr>
        <w:pStyle w:val="SBS"/>
        <w:rPr>
          <w:rFonts w:ascii="Times New Roman" w:hAnsi="Times New Roman"/>
          <w:color w:val="FF0000"/>
          <w:lang w:val="es-ES"/>
        </w:rPr>
      </w:pPr>
    </w:p>
    <w:p w:rsidR="00495AAB" w:rsidRDefault="00495AAB">
      <w:pPr>
        <w:pStyle w:val="SBS"/>
        <w:rPr>
          <w:rFonts w:ascii="Times New Roman" w:hAnsi="Times New Roman"/>
          <w:color w:val="FF0000"/>
          <w:lang w:val="es-ES"/>
        </w:rPr>
        <w:sectPr w:rsidR="00495AAB">
          <w:type w:val="continuous"/>
          <w:pgSz w:w="11907" w:h="16840" w:code="9"/>
          <w:pgMar w:top="1701" w:right="1418" w:bottom="1418" w:left="1701" w:header="1134" w:footer="1134" w:gutter="0"/>
          <w:paperSrc w:first="15"/>
          <w:cols w:num="2" w:space="720"/>
          <w:titlePg/>
        </w:sectPr>
      </w:pPr>
    </w:p>
    <w:p w:rsidR="00852557" w:rsidRDefault="00852557">
      <w:pPr>
        <w:pStyle w:val="SBS"/>
        <w:jc w:val="left"/>
        <w:rPr>
          <w:rFonts w:ascii="Times New Roman" w:hAnsi="Times New Roman"/>
          <w:color w:val="FF0000"/>
          <w:lang w:val="es-ES"/>
        </w:rPr>
        <w:sectPr w:rsidR="00852557">
          <w:type w:val="continuous"/>
          <w:pgSz w:w="11907" w:h="16840" w:code="9"/>
          <w:pgMar w:top="1701" w:right="1418" w:bottom="1418" w:left="1701" w:header="1134" w:footer="1134" w:gutter="0"/>
          <w:paperSrc w:first="15"/>
          <w:cols w:num="2" w:space="720" w:equalWidth="0">
            <w:col w:w="4034" w:space="720"/>
            <w:col w:w="4034"/>
          </w:cols>
          <w:titlePg/>
        </w:sectPr>
      </w:pPr>
      <w:r>
        <w:rPr>
          <w:rFonts w:ascii="Times New Roman" w:hAnsi="Times New Roman"/>
          <w:color w:val="FF0000"/>
          <w:lang w:val="es-ES"/>
        </w:rPr>
        <w:lastRenderedPageBreak/>
        <w:t xml:space="preserve">  </w:t>
      </w:r>
    </w:p>
    <w:p w:rsidR="00852557" w:rsidRDefault="00852557">
      <w:pPr>
        <w:pStyle w:val="SBS"/>
        <w:rPr>
          <w:rFonts w:ascii="Times New Roman" w:hAnsi="Times New Roman"/>
          <w:color w:val="FF0000"/>
          <w:lang w:val="es-ES"/>
        </w:rPr>
      </w:pPr>
    </w:p>
    <w:p w:rsidR="00852557" w:rsidRDefault="00852557">
      <w:pPr>
        <w:pStyle w:val="SBS"/>
        <w:rPr>
          <w:rFonts w:ascii="Times New Roman" w:hAnsi="Times New Roman"/>
          <w:color w:val="FF0000"/>
          <w:lang w:val="es-ES"/>
        </w:rPr>
        <w:sectPr w:rsidR="00852557">
          <w:type w:val="continuous"/>
          <w:pgSz w:w="11907" w:h="16840" w:code="9"/>
          <w:pgMar w:top="1701" w:right="1418" w:bottom="1418" w:left="1701" w:header="1134" w:footer="1134" w:gutter="0"/>
          <w:paperSrc w:first="15"/>
          <w:cols w:space="720"/>
          <w:titlePg/>
        </w:sectPr>
      </w:pPr>
    </w:p>
    <w:p w:rsidR="00852557" w:rsidRDefault="00094770" w:rsidP="00A3588F">
      <w:pPr>
        <w:pStyle w:val="SBS"/>
        <w:ind w:left="-113"/>
        <w:jc w:val="center"/>
        <w:rPr>
          <w:rFonts w:ascii="Times New Roman" w:hAnsi="Times New Roman"/>
          <w:color w:val="FF0000"/>
          <w:lang w:val="es-ES"/>
        </w:rPr>
        <w:sectPr w:rsidR="00852557">
          <w:type w:val="continuous"/>
          <w:pgSz w:w="11907" w:h="16840" w:code="9"/>
          <w:pgMar w:top="1701" w:right="1418" w:bottom="1418" w:left="1701" w:header="1134" w:footer="1134" w:gutter="0"/>
          <w:paperSrc w:first="15"/>
          <w:cols w:space="720"/>
          <w:titlePg/>
        </w:sectPr>
      </w:pPr>
      <w:r w:rsidRPr="008F36D3">
        <w:rPr>
          <w:rFonts w:ascii="Times New Roman" w:hAnsi="Times New Roman"/>
          <w:color w:val="FF0000"/>
          <w:lang w:val="es-ES"/>
        </w:rPr>
        <w:object w:dxaOrig="8925" w:dyaOrig="5781">
          <v:shape id="_x0000_i1036" type="#_x0000_t75" style="width:446.25pt;height:288.75pt" o:ole="">
            <v:imagedata r:id="rId57" o:title=""/>
          </v:shape>
          <o:OLEObject Type="Embed" ProgID="Excel.Sheet.8" ShapeID="_x0000_i1036" DrawAspect="Content" ObjectID="_1388566673" r:id="rId58"/>
        </w:object>
      </w:r>
    </w:p>
    <w:p w:rsidR="00852557" w:rsidRDefault="00852557">
      <w:pPr>
        <w:pStyle w:val="SBS"/>
        <w:rPr>
          <w:rFonts w:ascii="Times New Roman" w:hAnsi="Times New Roman"/>
          <w:color w:val="FF0000"/>
          <w:lang w:val="es-ES"/>
        </w:rPr>
      </w:pPr>
    </w:p>
    <w:p w:rsidR="00852557" w:rsidRDefault="00852557">
      <w:pPr>
        <w:pStyle w:val="SBS"/>
        <w:rPr>
          <w:rFonts w:ascii="Times New Roman" w:hAnsi="Times New Roman"/>
          <w:color w:val="FF0000"/>
          <w:lang w:val="es-ES"/>
        </w:rPr>
        <w:sectPr w:rsidR="00852557">
          <w:type w:val="continuous"/>
          <w:pgSz w:w="11907" w:h="16840" w:code="9"/>
          <w:pgMar w:top="1701" w:right="1418" w:bottom="1418" w:left="1701" w:header="1134" w:footer="1134" w:gutter="0"/>
          <w:paperSrc w:first="15"/>
          <w:cols w:num="2" w:space="720" w:equalWidth="0">
            <w:col w:w="4034" w:space="720"/>
            <w:col w:w="4034"/>
          </w:cols>
          <w:titlePg/>
        </w:sectPr>
      </w:pPr>
    </w:p>
    <w:p w:rsidR="00852557" w:rsidRPr="00B603DD" w:rsidRDefault="00852557">
      <w:pPr>
        <w:numPr>
          <w:ilvl w:val="2"/>
          <w:numId w:val="4"/>
        </w:numPr>
        <w:rPr>
          <w:b/>
        </w:rPr>
      </w:pPr>
      <w:r w:rsidRPr="00B603DD">
        <w:rPr>
          <w:b/>
        </w:rPr>
        <w:lastRenderedPageBreak/>
        <w:t>Producción Manufacturera</w:t>
      </w:r>
    </w:p>
    <w:p w:rsidR="00852557" w:rsidRDefault="00852557">
      <w:pPr>
        <w:rPr>
          <w:bCs/>
          <w:color w:val="FF0000"/>
          <w:sz w:val="22"/>
        </w:rPr>
      </w:pPr>
    </w:p>
    <w:p w:rsidR="00852557" w:rsidRDefault="00852557">
      <w:pPr>
        <w:rPr>
          <w:bCs/>
          <w:color w:val="FF0000"/>
          <w:sz w:val="22"/>
          <w:szCs w:val="22"/>
          <w:lang w:val="es-PE"/>
        </w:rPr>
        <w:sectPr w:rsidR="00852557" w:rsidSect="00495AAB">
          <w:headerReference w:type="default" r:id="rId59"/>
          <w:footerReference w:type="default" r:id="rId60"/>
          <w:type w:val="continuous"/>
          <w:pgSz w:w="11906" w:h="16838"/>
          <w:pgMar w:top="1417" w:right="1701" w:bottom="1417" w:left="1701" w:header="720" w:footer="720" w:gutter="0"/>
          <w:cols w:space="720"/>
        </w:sectPr>
      </w:pPr>
    </w:p>
    <w:p w:rsidR="009F1C8C" w:rsidRDefault="00164E59" w:rsidP="009F1C8C">
      <w:pPr>
        <w:rPr>
          <w:sz w:val="22"/>
          <w:szCs w:val="22"/>
          <w:lang w:val="es-PE"/>
        </w:rPr>
      </w:pPr>
      <w:r>
        <w:rPr>
          <w:sz w:val="22"/>
          <w:szCs w:val="22"/>
          <w:lang w:val="es-PE"/>
        </w:rPr>
        <w:lastRenderedPageBreak/>
        <w:t>En el mes bajo análisis, l</w:t>
      </w:r>
      <w:r w:rsidRPr="006A1E32">
        <w:rPr>
          <w:sz w:val="22"/>
          <w:szCs w:val="22"/>
          <w:lang w:val="es-PE"/>
        </w:rPr>
        <w:t xml:space="preserve">a actividad industrial </w:t>
      </w:r>
      <w:r>
        <w:rPr>
          <w:sz w:val="22"/>
          <w:szCs w:val="22"/>
          <w:lang w:val="es-PE"/>
        </w:rPr>
        <w:t xml:space="preserve">decreció 5,4 por ciento respecto de similar período del año anterior, debido a la caída en el procesamiento primario de recursos (-6,9 por ciento) no compensada </w:t>
      </w:r>
      <w:r>
        <w:rPr>
          <w:sz w:val="22"/>
          <w:szCs w:val="22"/>
          <w:lang w:val="es-PE"/>
        </w:rPr>
        <w:lastRenderedPageBreak/>
        <w:t>por el débil crecimiento de la manufactura no primaria (0,1 por ciento). No obstante, en lo que va del año, la expansión sectorial fue del 9,6 por ciento.</w:t>
      </w:r>
      <w:r w:rsidR="009F1C8C">
        <w:rPr>
          <w:sz w:val="22"/>
          <w:szCs w:val="22"/>
          <w:lang w:val="es-PE"/>
        </w:rPr>
        <w:t xml:space="preserve"> </w:t>
      </w:r>
    </w:p>
    <w:p w:rsidR="009F1C8C" w:rsidRDefault="009F1C8C">
      <w:pPr>
        <w:rPr>
          <w:sz w:val="22"/>
          <w:szCs w:val="22"/>
          <w:lang w:val="es-PE"/>
        </w:rPr>
        <w:sectPr w:rsidR="009F1C8C" w:rsidSect="009F1C8C">
          <w:type w:val="continuous"/>
          <w:pgSz w:w="11906" w:h="16838"/>
          <w:pgMar w:top="1417" w:right="1701" w:bottom="1417" w:left="1701" w:header="708" w:footer="708" w:gutter="0"/>
          <w:cols w:num="2" w:space="709"/>
          <w:docGrid w:linePitch="360"/>
        </w:sectPr>
      </w:pPr>
    </w:p>
    <w:p w:rsidR="00852557" w:rsidRDefault="00852557">
      <w:pPr>
        <w:rPr>
          <w:sz w:val="22"/>
          <w:szCs w:val="22"/>
          <w:lang w:val="es-PE"/>
        </w:rPr>
      </w:pPr>
    </w:p>
    <w:p w:rsidR="009C4777" w:rsidRDefault="009C4777">
      <w:pPr>
        <w:rPr>
          <w:sz w:val="22"/>
          <w:szCs w:val="22"/>
          <w:lang w:val="es-PE"/>
        </w:rPr>
      </w:pPr>
    </w:p>
    <w:p w:rsidR="00852557" w:rsidRDefault="00164E59">
      <w:pPr>
        <w:jc w:val="center"/>
      </w:pPr>
      <w:r>
        <w:object w:dxaOrig="5656" w:dyaOrig="3078">
          <v:shape id="_x0000_i1037" type="#_x0000_t75" style="width:269.25pt;height:159pt" o:ole="">
            <v:imagedata r:id="rId61" o:title=""/>
            <o:lock v:ext="edit" aspectratio="f"/>
          </v:shape>
          <o:OLEObject Type="Embed" ProgID="Excel.Sheet.12" ShapeID="_x0000_i1037" DrawAspect="Content" ObjectID="_1388566674" r:id="rId62"/>
        </w:object>
      </w:r>
    </w:p>
    <w:p w:rsidR="004E68B5" w:rsidRDefault="004E68B5">
      <w:pPr>
        <w:jc w:val="center"/>
        <w:rPr>
          <w:sz w:val="22"/>
          <w:szCs w:val="22"/>
          <w:lang w:val="es-PE"/>
        </w:rPr>
      </w:pP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164E59" w:rsidRDefault="00164E59" w:rsidP="00164E59">
      <w:pPr>
        <w:rPr>
          <w:sz w:val="22"/>
          <w:szCs w:val="22"/>
          <w:lang w:val="es-PE"/>
        </w:rPr>
      </w:pPr>
      <w:r>
        <w:rPr>
          <w:sz w:val="22"/>
          <w:szCs w:val="22"/>
          <w:lang w:val="es-PE"/>
        </w:rPr>
        <w:lastRenderedPageBreak/>
        <w:t>La actividad industrial primaria se contrajo debido al menor abastecimiento de materia prima que enfrentó la rama de procesamiento pesquero, a raíz de condiciones oceanográficas adversas (enfriamiento de aguas marinas por efecto del fenómeno de La Niña). En este sentido, la producción de pescado congelado se contrajo en 13,8 por ciento y la de conservas, en 47,1 por ciento.</w:t>
      </w:r>
      <w:r w:rsidR="00F84055">
        <w:rPr>
          <w:sz w:val="22"/>
          <w:szCs w:val="22"/>
          <w:lang w:val="es-PE"/>
        </w:rPr>
        <w:t xml:space="preserve"> Esto fue compensado, en parte, por la presencia de </w:t>
      </w:r>
      <w:r w:rsidR="00F84055">
        <w:rPr>
          <w:sz w:val="22"/>
          <w:szCs w:val="22"/>
          <w:lang w:val="es-PE"/>
        </w:rPr>
        <w:lastRenderedPageBreak/>
        <w:t>anchoveta de buen tamaño</w:t>
      </w:r>
      <w:r w:rsidR="008D2A0F">
        <w:rPr>
          <w:sz w:val="22"/>
          <w:szCs w:val="22"/>
          <w:lang w:val="es-PE"/>
        </w:rPr>
        <w:t xml:space="preserve"> (en especial,</w:t>
      </w:r>
      <w:r w:rsidR="00F84055">
        <w:rPr>
          <w:sz w:val="22"/>
          <w:szCs w:val="22"/>
          <w:lang w:val="es-PE"/>
        </w:rPr>
        <w:t xml:space="preserve"> en Sechura</w:t>
      </w:r>
      <w:r w:rsidR="008D2A0F">
        <w:rPr>
          <w:sz w:val="22"/>
          <w:szCs w:val="22"/>
          <w:lang w:val="es-PE"/>
        </w:rPr>
        <w:t>), lo que incidió en mayor producción y rendimiento en la industria de harina y aceite de pescado.</w:t>
      </w:r>
    </w:p>
    <w:p w:rsidR="00164E59" w:rsidRDefault="00164E59" w:rsidP="00164E59">
      <w:pPr>
        <w:rPr>
          <w:sz w:val="22"/>
          <w:szCs w:val="22"/>
          <w:lang w:val="es-PE"/>
        </w:rPr>
      </w:pPr>
    </w:p>
    <w:p w:rsidR="009F1C8C" w:rsidRDefault="00164E59" w:rsidP="00164E59">
      <w:pPr>
        <w:rPr>
          <w:sz w:val="22"/>
          <w:szCs w:val="22"/>
          <w:lang w:val="es-PE"/>
        </w:rPr>
      </w:pPr>
      <w:r>
        <w:rPr>
          <w:sz w:val="22"/>
          <w:szCs w:val="22"/>
          <w:lang w:val="es-PE"/>
        </w:rPr>
        <w:t>Por otra parte, la mayoría de derivados del petróleo registró menores niveles de procesamiento que en noviembre del 2010; en particular, las gasolinas observaron una contracción del 18,5 por ciento.</w:t>
      </w:r>
    </w:p>
    <w:p w:rsidR="009C4777" w:rsidRDefault="009C4777" w:rsidP="009C4777">
      <w:pPr>
        <w:rPr>
          <w:sz w:val="22"/>
          <w:szCs w:val="22"/>
          <w:lang w:val="es-PE"/>
        </w:rPr>
        <w:sectPr w:rsidR="009C4777" w:rsidSect="009C4777">
          <w:type w:val="continuous"/>
          <w:pgSz w:w="11906" w:h="16838"/>
          <w:pgMar w:top="1417" w:right="1701" w:bottom="1417" w:left="1701" w:header="708" w:footer="708" w:gutter="0"/>
          <w:cols w:num="2" w:space="709"/>
          <w:docGrid w:linePitch="360"/>
        </w:sectPr>
      </w:pPr>
    </w:p>
    <w:p w:rsidR="009C4777" w:rsidRDefault="009C4777" w:rsidP="009C4777"/>
    <w:p w:rsidR="00985ACD" w:rsidRDefault="00F153EA" w:rsidP="00985ACD">
      <w:r w:rsidRPr="00F153EA">
        <w:rPr>
          <w:noProof/>
        </w:rPr>
        <w:lastRenderedPageBreak/>
        <w:pict>
          <v:shape id="_x0000_s9868" type="#_x0000_t75" style="position:absolute;left:0;text-align:left;margin-left:1.9pt;margin-top:5.35pt;width:439.15pt;height:255.7pt;z-index:251704832">
            <v:imagedata r:id="rId63" o:title=""/>
            <o:lock v:ext="edit" aspectratio="f"/>
            <w10:wrap type="square"/>
          </v:shape>
          <o:OLEObject Type="Embed" ProgID="Excel.Sheet.12" ShapeID="_x0000_s9868" DrawAspect="Content" ObjectID="_1388566705" r:id="rId64"/>
        </w:pict>
      </w:r>
    </w:p>
    <w:p w:rsidR="00F36DDC" w:rsidRDefault="00F36DDC" w:rsidP="00F36DDC"/>
    <w:p w:rsidR="007A53DA" w:rsidRDefault="007A53DA" w:rsidP="0051182A">
      <w:pPr>
        <w:rPr>
          <w:sz w:val="22"/>
          <w:szCs w:val="22"/>
          <w:lang w:val="es-PE"/>
        </w:rPr>
      </w:pPr>
    </w:p>
    <w:p w:rsidR="00066EF9" w:rsidRDefault="00066EF9" w:rsidP="0051182A">
      <w:pPr>
        <w:rPr>
          <w:sz w:val="22"/>
          <w:szCs w:val="22"/>
          <w:lang w:val="es-PE"/>
        </w:rPr>
        <w:sectPr w:rsidR="00066EF9" w:rsidSect="000746D5">
          <w:type w:val="continuous"/>
          <w:pgSz w:w="11906" w:h="16838"/>
          <w:pgMar w:top="1417" w:right="1701" w:bottom="1417" w:left="1701" w:header="708" w:footer="708" w:gutter="0"/>
          <w:cols w:num="2" w:space="709"/>
          <w:docGrid w:linePitch="360"/>
        </w:sectPr>
      </w:pPr>
    </w:p>
    <w:p w:rsidR="00164E59" w:rsidRPr="00083232" w:rsidRDefault="00164E59" w:rsidP="00164E59">
      <w:pPr>
        <w:rPr>
          <w:sz w:val="22"/>
          <w:szCs w:val="22"/>
        </w:rPr>
      </w:pPr>
      <w:r w:rsidRPr="00083232">
        <w:rPr>
          <w:sz w:val="22"/>
          <w:szCs w:val="22"/>
        </w:rPr>
        <w:lastRenderedPageBreak/>
        <w:t>En el lado de la manufactura no primaria, se registraron comportamientos mixtos según ramas fabriles. De un lado, se expandió la producción de arroz pilado (50,6 por ciento), jugos de frutas (42,0 por ciento) y harina de trigo (22,1 por ciento).</w:t>
      </w:r>
    </w:p>
    <w:p w:rsidR="00164E59" w:rsidRPr="00083232" w:rsidRDefault="00164E59" w:rsidP="00164E59">
      <w:pPr>
        <w:rPr>
          <w:sz w:val="22"/>
          <w:szCs w:val="22"/>
        </w:rPr>
      </w:pPr>
    </w:p>
    <w:p w:rsidR="00164E59" w:rsidRPr="00703496" w:rsidRDefault="00164E59" w:rsidP="00164E59">
      <w:pPr>
        <w:rPr>
          <w:sz w:val="22"/>
          <w:szCs w:val="22"/>
        </w:rPr>
      </w:pPr>
      <w:r>
        <w:rPr>
          <w:sz w:val="22"/>
          <w:szCs w:val="22"/>
        </w:rPr>
        <w:lastRenderedPageBreak/>
        <w:t>En contraste, decrecieron las ramas de hilados de algodón (-17,8 por ciento) y oleína (-</w:t>
      </w:r>
      <w:r w:rsidR="003711B6">
        <w:rPr>
          <w:sz w:val="22"/>
          <w:szCs w:val="22"/>
        </w:rPr>
        <w:t>11</w:t>
      </w:r>
      <w:r>
        <w:rPr>
          <w:sz w:val="22"/>
          <w:szCs w:val="22"/>
        </w:rPr>
        <w:t>,</w:t>
      </w:r>
      <w:r w:rsidR="003711B6">
        <w:rPr>
          <w:sz w:val="22"/>
          <w:szCs w:val="22"/>
        </w:rPr>
        <w:t>1</w:t>
      </w:r>
      <w:r>
        <w:rPr>
          <w:sz w:val="22"/>
          <w:szCs w:val="22"/>
        </w:rPr>
        <w:t xml:space="preserve"> por ciento).  En el primer caso, se sigue acusando el impacto de una retracción de la demanda que ha llevado a contraer el porcentaje de uso de la capacidad instalada hasta 70 por ciento.</w:t>
      </w:r>
    </w:p>
    <w:p w:rsidR="009F1C8C" w:rsidRPr="00703496" w:rsidRDefault="009F1C8C" w:rsidP="009F1C8C">
      <w:pPr>
        <w:rPr>
          <w:sz w:val="22"/>
          <w:szCs w:val="22"/>
        </w:rPr>
        <w:sectPr w:rsidR="009F1C8C" w:rsidRPr="00703496" w:rsidSect="00F83C45">
          <w:type w:val="continuous"/>
          <w:pgSz w:w="11906" w:h="16838"/>
          <w:pgMar w:top="1417" w:right="1701" w:bottom="180" w:left="1701" w:header="708" w:footer="708" w:gutter="0"/>
          <w:cols w:num="2" w:space="720"/>
          <w:docGrid w:linePitch="360"/>
        </w:sectPr>
      </w:pPr>
      <w:r w:rsidRPr="00703496">
        <w:rPr>
          <w:sz w:val="22"/>
          <w:szCs w:val="22"/>
        </w:rPr>
        <w:t xml:space="preserve"> </w:t>
      </w:r>
    </w:p>
    <w:p w:rsidR="00985ACD" w:rsidRPr="00066EF9" w:rsidRDefault="00985ACD" w:rsidP="00985ACD">
      <w:pPr>
        <w:rPr>
          <w:sz w:val="22"/>
          <w:szCs w:val="22"/>
        </w:rPr>
        <w:sectPr w:rsidR="00985ACD" w:rsidRPr="00066EF9" w:rsidSect="006474DD">
          <w:type w:val="continuous"/>
          <w:pgSz w:w="11906" w:h="16838"/>
          <w:pgMar w:top="1417" w:right="1701" w:bottom="180" w:left="1701" w:header="708" w:footer="708" w:gutter="0"/>
          <w:cols w:num="2" w:space="720"/>
          <w:docGrid w:linePitch="360"/>
        </w:sectPr>
      </w:pPr>
      <w:r w:rsidRPr="00066EF9">
        <w:rPr>
          <w:sz w:val="22"/>
          <w:szCs w:val="22"/>
        </w:rPr>
        <w:lastRenderedPageBreak/>
        <w:t xml:space="preserve"> </w:t>
      </w:r>
    </w:p>
    <w:p w:rsidR="00F36DDC" w:rsidRDefault="00F36DDC" w:rsidP="00F36DDC">
      <w:pPr>
        <w:rPr>
          <w:sz w:val="22"/>
          <w:szCs w:val="22"/>
          <w:lang w:val="es-PE"/>
        </w:rPr>
      </w:pPr>
    </w:p>
    <w:p w:rsidR="00FF07C0" w:rsidRDefault="00FF07C0" w:rsidP="00F36DDC">
      <w:pPr>
        <w:rPr>
          <w:sz w:val="22"/>
          <w:szCs w:val="22"/>
          <w:lang w:val="es-PE"/>
        </w:rPr>
      </w:pPr>
    </w:p>
    <w:p w:rsidR="00FF07C0" w:rsidRDefault="00FF07C0" w:rsidP="00F36DDC">
      <w:pPr>
        <w:rPr>
          <w:sz w:val="22"/>
          <w:szCs w:val="22"/>
          <w:lang w:val="es-PE"/>
        </w:rPr>
        <w:sectPr w:rsidR="00FF07C0" w:rsidSect="00F36DDC">
          <w:type w:val="continuous"/>
          <w:pgSz w:w="11906" w:h="16838"/>
          <w:pgMar w:top="1417" w:right="1701" w:bottom="180" w:left="1701" w:header="708" w:footer="708" w:gutter="0"/>
          <w:cols w:num="2" w:space="720"/>
          <w:docGrid w:linePitch="360"/>
        </w:sectPr>
      </w:pPr>
    </w:p>
    <w:p w:rsidR="00483779" w:rsidRDefault="003748DF" w:rsidP="00483779">
      <w:pPr>
        <w:jc w:val="center"/>
        <w:rPr>
          <w:sz w:val="22"/>
          <w:szCs w:val="22"/>
          <w:lang w:val="es-PE"/>
        </w:rPr>
      </w:pPr>
      <w:r w:rsidRPr="006B3FA8">
        <w:rPr>
          <w:sz w:val="22"/>
          <w:szCs w:val="22"/>
          <w:lang w:val="es-PE"/>
        </w:rPr>
        <w:object w:dxaOrig="8783" w:dyaOrig="5419">
          <v:shape id="_x0000_i1038" type="#_x0000_t75" style="width:417.75pt;height:279pt" o:ole="">
            <v:imagedata r:id="rId65" o:title=""/>
            <o:lock v:ext="edit" aspectratio="f"/>
          </v:shape>
          <o:OLEObject Type="Embed" ProgID="Excel.Sheet.12" ShapeID="_x0000_i1038" DrawAspect="Content" ObjectID="_1388566675" r:id="rId66"/>
        </w:object>
      </w:r>
    </w:p>
    <w:p w:rsidR="00483779" w:rsidRDefault="00483779" w:rsidP="00483779">
      <w:pPr>
        <w:jc w:val="center"/>
        <w:rPr>
          <w:sz w:val="22"/>
          <w:szCs w:val="22"/>
          <w:lang w:val="es-PE"/>
        </w:rPr>
        <w:sectPr w:rsidR="00483779" w:rsidSect="00483779">
          <w:type w:val="continuous"/>
          <w:pgSz w:w="11906" w:h="16838"/>
          <w:pgMar w:top="1417" w:right="1701" w:bottom="180" w:left="1701" w:header="708" w:footer="708" w:gutter="0"/>
          <w:cols w:space="720"/>
          <w:docGrid w:linePitch="360"/>
        </w:sectPr>
      </w:pPr>
    </w:p>
    <w:p w:rsidR="00483779" w:rsidRDefault="00483779" w:rsidP="00F36DDC">
      <w:pPr>
        <w:rPr>
          <w:sz w:val="22"/>
          <w:szCs w:val="22"/>
          <w:lang w:val="es-PE"/>
        </w:rPr>
      </w:pPr>
    </w:p>
    <w:p w:rsidR="00B603DD" w:rsidRDefault="00B603DD" w:rsidP="00F36DDC">
      <w:pPr>
        <w:rPr>
          <w:sz w:val="22"/>
          <w:szCs w:val="22"/>
          <w:lang w:val="es-PE"/>
        </w:rPr>
      </w:pPr>
    </w:p>
    <w:p w:rsidR="00F36DDC" w:rsidRDefault="00F153EA" w:rsidP="00F36DDC">
      <w:pPr>
        <w:rPr>
          <w:sz w:val="22"/>
          <w:szCs w:val="22"/>
          <w:lang w:val="es-PE"/>
        </w:rPr>
      </w:pPr>
      <w:r w:rsidRPr="00F153EA">
        <w:rPr>
          <w:noProof/>
        </w:rPr>
        <w:pict>
          <v:shape id="_x0000_s9826" type="#_x0000_t75" style="position:absolute;left:0;text-align:left;margin-left:223.5pt;margin-top:19.65pt;width:205.5pt;height:166.5pt;z-index:251702784">
            <v:imagedata r:id="rId67" o:title=""/>
            <w10:wrap type="square"/>
          </v:shape>
          <o:OLEObject Type="Embed" ProgID="Excel.Sheet.8" ShapeID="_x0000_s9826" DrawAspect="Content" ObjectID="_1388566706" r:id="rId68"/>
        </w:pict>
      </w:r>
    </w:p>
    <w:p w:rsidR="00F36DDC" w:rsidRDefault="00F36DDC" w:rsidP="00F36DDC">
      <w:pPr>
        <w:rPr>
          <w:sz w:val="22"/>
          <w:szCs w:val="22"/>
          <w:lang w:val="es-PE"/>
        </w:rPr>
      </w:pPr>
    </w:p>
    <w:p w:rsidR="00164E59" w:rsidRDefault="00164E59" w:rsidP="00F36DDC">
      <w:pPr>
        <w:rPr>
          <w:sz w:val="22"/>
          <w:szCs w:val="22"/>
          <w:lang w:val="es-PE"/>
        </w:rPr>
      </w:pPr>
    </w:p>
    <w:p w:rsidR="00164E59" w:rsidRPr="00FC18C8" w:rsidRDefault="00164E59" w:rsidP="00F36DDC">
      <w:pPr>
        <w:rPr>
          <w:sz w:val="22"/>
          <w:szCs w:val="22"/>
          <w:lang w:val="es-PE"/>
        </w:rPr>
        <w:sectPr w:rsidR="00164E59" w:rsidRPr="00FC18C8" w:rsidSect="00F36DDC">
          <w:type w:val="continuous"/>
          <w:pgSz w:w="11906" w:h="16838"/>
          <w:pgMar w:top="1417" w:right="1701" w:bottom="180" w:left="1701" w:header="708" w:footer="708" w:gutter="0"/>
          <w:cols w:num="2" w:space="720"/>
          <w:docGrid w:linePitch="360"/>
        </w:sectPr>
      </w:pPr>
    </w:p>
    <w:p w:rsidR="00164E59" w:rsidRDefault="00F153EA" w:rsidP="00164E59">
      <w:r w:rsidRPr="00F153EA">
        <w:rPr>
          <w:noProof/>
        </w:rPr>
        <w:pict>
          <v:shape id="_x0000_s9825" type="#_x0000_t75" style="position:absolute;left:0;text-align:left;margin-left:-.3pt;margin-top:7pt;width:205.5pt;height:166.5pt;z-index:251700736">
            <v:imagedata r:id="rId69" o:title=""/>
            <o:lock v:ext="edit" aspectratio="f"/>
            <w10:wrap type="square"/>
          </v:shape>
          <o:OLEObject Type="Embed" ProgID="Excel.Sheet.8" ShapeID="_x0000_s9825" DrawAspect="Content" ObjectID="_1388566707" r:id="rId70"/>
        </w:pict>
      </w:r>
      <w:r w:rsidR="009C4777">
        <w:tab/>
      </w:r>
      <w:r w:rsidR="00164E59">
        <w:tab/>
      </w:r>
    </w:p>
    <w:p w:rsidR="009C4777" w:rsidRDefault="009C4777" w:rsidP="009C4777"/>
    <w:p w:rsidR="00E77C92" w:rsidRDefault="00E77C92" w:rsidP="00AF73DC"/>
    <w:p w:rsidR="00AB7ED5" w:rsidRDefault="00AB7ED5" w:rsidP="00AF73DC"/>
    <w:p w:rsidR="00AB7ED5" w:rsidRDefault="00AB7ED5" w:rsidP="00AF73DC"/>
    <w:p w:rsidR="00AB7ED5" w:rsidRDefault="00AB7ED5" w:rsidP="00AF73DC"/>
    <w:p w:rsidR="00AB7ED5" w:rsidRDefault="00AB7ED5" w:rsidP="00AF73DC"/>
    <w:p w:rsidR="00AB7ED5" w:rsidRDefault="00AB7ED5" w:rsidP="00AF73DC"/>
    <w:p w:rsidR="00AB7ED5" w:rsidRDefault="00AB7ED5" w:rsidP="00AF73DC">
      <w:pPr>
        <w:sectPr w:rsidR="00AB7ED5" w:rsidSect="00F349E2">
          <w:type w:val="continuous"/>
          <w:pgSz w:w="11906" w:h="16838"/>
          <w:pgMar w:top="1417" w:right="1701" w:bottom="180" w:left="1701" w:header="708" w:footer="708" w:gutter="0"/>
          <w:cols w:num="2" w:space="720"/>
          <w:docGrid w:linePitch="360"/>
        </w:sectPr>
      </w:pPr>
    </w:p>
    <w:p w:rsidR="00483779" w:rsidRDefault="00FF07C0" w:rsidP="00A3588F">
      <w:pPr>
        <w:rPr>
          <w:sz w:val="22"/>
          <w:szCs w:val="22"/>
          <w:lang w:val="es-PE"/>
        </w:rPr>
      </w:pPr>
      <w:r>
        <w:rPr>
          <w:sz w:val="22"/>
          <w:szCs w:val="22"/>
          <w:lang w:val="es-PE"/>
        </w:rPr>
        <w:lastRenderedPageBreak/>
        <w:t xml:space="preserve">    </w:t>
      </w:r>
      <w:r w:rsidR="00C54324">
        <w:rPr>
          <w:sz w:val="22"/>
          <w:szCs w:val="22"/>
          <w:lang w:val="es-PE"/>
        </w:rPr>
        <w:t xml:space="preserve">           </w:t>
      </w:r>
    </w:p>
    <w:p w:rsidR="00AB7ED5" w:rsidRDefault="00AB7ED5" w:rsidP="00F04DEC">
      <w:pPr>
        <w:pStyle w:val="Ttulo2"/>
        <w:ind w:left="0"/>
        <w:rPr>
          <w:rFonts w:ascii="Times New Roman" w:hAnsi="Times New Roman"/>
          <w:sz w:val="22"/>
        </w:rPr>
      </w:pPr>
    </w:p>
    <w:p w:rsidR="00AB7ED5" w:rsidRDefault="00AB7ED5" w:rsidP="00F04DEC">
      <w:pPr>
        <w:pStyle w:val="Ttulo2"/>
        <w:ind w:left="0"/>
        <w:rPr>
          <w:rFonts w:ascii="Times New Roman" w:hAnsi="Times New Roman"/>
          <w:sz w:val="22"/>
        </w:rPr>
      </w:pPr>
    </w:p>
    <w:p w:rsidR="00F04DEC" w:rsidRPr="00143594" w:rsidRDefault="00F04DEC" w:rsidP="00F04DEC">
      <w:pPr>
        <w:pStyle w:val="Ttulo2"/>
        <w:ind w:left="0"/>
        <w:rPr>
          <w:rFonts w:ascii="Times New Roman" w:hAnsi="Times New Roman"/>
          <w:sz w:val="24"/>
          <w:szCs w:val="24"/>
        </w:rPr>
      </w:pPr>
      <w:r w:rsidRPr="00143594">
        <w:rPr>
          <w:rFonts w:ascii="Times New Roman" w:hAnsi="Times New Roman"/>
          <w:sz w:val="24"/>
          <w:szCs w:val="24"/>
        </w:rPr>
        <w:t>1.1.5 Construcción</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titlePg/>
        </w:sectPr>
      </w:pPr>
    </w:p>
    <w:p w:rsidR="00F04DEC" w:rsidRDefault="00F04DEC" w:rsidP="00F04DEC">
      <w:pPr>
        <w:rPr>
          <w:color w:val="FF0000"/>
          <w:sz w:val="22"/>
        </w:rPr>
      </w:pPr>
    </w:p>
    <w:p w:rsidR="00F04DEC" w:rsidRDefault="00F04DEC" w:rsidP="00F04DEC">
      <w:pPr>
        <w:rPr>
          <w:color w:val="FF0000"/>
          <w:sz w:val="22"/>
        </w:rPr>
        <w:sectPr w:rsidR="00F04DEC">
          <w:headerReference w:type="default" r:id="rId71"/>
          <w:footerReference w:type="default" r:id="rId72"/>
          <w:type w:val="continuous"/>
          <w:pgSz w:w="11907" w:h="16840" w:code="9"/>
          <w:pgMar w:top="1701" w:right="1418" w:bottom="1418" w:left="1701" w:header="1134" w:footer="1134" w:gutter="0"/>
          <w:paperSrc w:first="15"/>
          <w:cols w:num="2" w:space="720" w:equalWidth="0">
            <w:col w:w="4040" w:space="708"/>
            <w:col w:w="4040"/>
          </w:cols>
          <w:titlePg/>
        </w:sectPr>
      </w:pPr>
    </w:p>
    <w:p w:rsidR="00AB7ED5" w:rsidRPr="00F67D22" w:rsidRDefault="00AB7ED5" w:rsidP="00AB7ED5">
      <w:pPr>
        <w:rPr>
          <w:color w:val="002060"/>
          <w:sz w:val="22"/>
        </w:rPr>
      </w:pPr>
      <w:r>
        <w:rPr>
          <w:sz w:val="22"/>
        </w:rPr>
        <w:lastRenderedPageBreak/>
        <w:t>En noviembre, el</w:t>
      </w:r>
      <w:r>
        <w:rPr>
          <w:b/>
          <w:bCs/>
          <w:sz w:val="22"/>
        </w:rPr>
        <w:t xml:space="preserve"> sector de la construcción, </w:t>
      </w:r>
      <w:r>
        <w:rPr>
          <w:sz w:val="22"/>
        </w:rPr>
        <w:t xml:space="preserve">medido a través del despacho de cemento, </w:t>
      </w:r>
      <w:r w:rsidRPr="00EA2ACB">
        <w:rPr>
          <w:sz w:val="22"/>
        </w:rPr>
        <w:t>c</w:t>
      </w:r>
      <w:r>
        <w:rPr>
          <w:sz w:val="22"/>
        </w:rPr>
        <w:t>ayó</w:t>
      </w:r>
      <w:r w:rsidRPr="00EA2ACB">
        <w:rPr>
          <w:sz w:val="22"/>
        </w:rPr>
        <w:t xml:space="preserve"> </w:t>
      </w:r>
      <w:r>
        <w:rPr>
          <w:sz w:val="22"/>
        </w:rPr>
        <w:t xml:space="preserve">0,9 </w:t>
      </w:r>
      <w:r w:rsidRPr="00EA2ACB">
        <w:rPr>
          <w:sz w:val="22"/>
        </w:rPr>
        <w:t>por ciento</w:t>
      </w:r>
      <w:r>
        <w:rPr>
          <w:sz w:val="22"/>
        </w:rPr>
        <w:t xml:space="preserve"> en relación con igual mes </w:t>
      </w:r>
      <w:r>
        <w:rPr>
          <w:sz w:val="22"/>
        </w:rPr>
        <w:lastRenderedPageBreak/>
        <w:t>del año anterior. No obstante, en los once primeros meses del año, el crecimiento sectorial fue del 6,2 por ciento.</w:t>
      </w:r>
    </w:p>
    <w:p w:rsidR="00AB7ED5" w:rsidRDefault="00AB7ED5" w:rsidP="001C335B">
      <w:pPr>
        <w:rPr>
          <w:sz w:val="22"/>
        </w:rPr>
        <w:sectPr w:rsidR="00AB7ED5" w:rsidSect="00AB7ED5">
          <w:type w:val="continuous"/>
          <w:pgSz w:w="11907" w:h="16840" w:code="9"/>
          <w:pgMar w:top="1701" w:right="1418" w:bottom="1418" w:left="1701" w:header="1134" w:footer="1134" w:gutter="0"/>
          <w:paperSrc w:first="15"/>
          <w:cols w:num="2" w:space="708"/>
          <w:titlePg/>
        </w:sectPr>
      </w:pPr>
    </w:p>
    <w:p w:rsidR="001C335B" w:rsidRDefault="001C335B" w:rsidP="001C335B">
      <w:pPr>
        <w:rPr>
          <w:sz w:val="22"/>
        </w:rPr>
      </w:pPr>
    </w:p>
    <w:p w:rsidR="007D136B" w:rsidRDefault="007D136B" w:rsidP="007D136B">
      <w:pPr>
        <w:rPr>
          <w:sz w:val="22"/>
        </w:rPr>
        <w:sectPr w:rsidR="007D136B" w:rsidSect="00E47529">
          <w:type w:val="continuous"/>
          <w:pgSz w:w="11907" w:h="16840" w:code="9"/>
          <w:pgMar w:top="1701" w:right="1418" w:bottom="1418" w:left="1701" w:header="1134" w:footer="1134" w:gutter="0"/>
          <w:paperSrc w:first="15"/>
          <w:cols w:num="2" w:space="708"/>
          <w:titlePg/>
        </w:sectPr>
      </w:pPr>
    </w:p>
    <w:p w:rsidR="007D136B" w:rsidRPr="00F67D22" w:rsidRDefault="007D136B" w:rsidP="007D136B">
      <w:pPr>
        <w:rPr>
          <w:color w:val="002060"/>
          <w:sz w:val="22"/>
        </w:rPr>
      </w:pPr>
    </w:p>
    <w:p w:rsidR="007D136B" w:rsidRDefault="007D136B" w:rsidP="007D136B">
      <w:pPr>
        <w:rPr>
          <w:sz w:val="22"/>
        </w:rPr>
      </w:pPr>
    </w:p>
    <w:p w:rsidR="007D136B" w:rsidRDefault="007D136B" w:rsidP="007D136B">
      <w:pPr>
        <w:ind w:firstLine="567"/>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7D136B" w:rsidP="007D136B">
      <w:pPr>
        <w:ind w:firstLine="567"/>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AB7ED5" w:rsidP="007D136B">
      <w:pPr>
        <w:ind w:firstLine="567"/>
        <w:jc w:val="center"/>
        <w:rPr>
          <w:sz w:val="22"/>
        </w:rPr>
      </w:pPr>
      <w:r w:rsidRPr="00AA68C5">
        <w:rPr>
          <w:sz w:val="22"/>
        </w:rPr>
        <w:object w:dxaOrig="6678" w:dyaOrig="2292">
          <v:shape id="_x0000_i1039" type="#_x0000_t75" style="width:339.75pt;height:117pt" o:ole="">
            <v:imagedata r:id="rId73" o:title=""/>
          </v:shape>
          <o:OLEObject Type="Embed" ProgID="Excel.Sheet.12" ShapeID="_x0000_i1039" DrawAspect="Content" ObjectID="_1388566676" r:id="rId74"/>
        </w:object>
      </w:r>
    </w:p>
    <w:p w:rsidR="00F04DEC" w:rsidRDefault="00F04DEC" w:rsidP="00F04DEC">
      <w:pPr>
        <w:ind w:firstLine="567"/>
        <w:jc w:val="center"/>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143594">
        <w:rPr>
          <w:rFonts w:ascii="Times New Roman" w:hAnsi="Times New Roman"/>
          <w:sz w:val="24"/>
          <w:szCs w:val="24"/>
        </w:rPr>
        <w:t>1.1.6.</w:t>
      </w:r>
      <w:r w:rsidRPr="00143594">
        <w:rPr>
          <w:rFonts w:ascii="Times New Roman" w:hAnsi="Times New Roman"/>
          <w:sz w:val="24"/>
          <w:szCs w:val="24"/>
        </w:rPr>
        <w:tab/>
        <w:t>Electricidad y Agua</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1C335B" w:rsidRDefault="00AB7ED5" w:rsidP="001C335B">
      <w:r>
        <w:rPr>
          <w:sz w:val="22"/>
        </w:rPr>
        <w:lastRenderedPageBreak/>
        <w:t xml:space="preserve">En noviembre, la </w:t>
      </w:r>
      <w:r>
        <w:rPr>
          <w:b/>
          <w:bCs/>
          <w:sz w:val="22"/>
        </w:rPr>
        <w:t xml:space="preserve">producción de electricidad y agua </w:t>
      </w:r>
      <w:r>
        <w:rPr>
          <w:sz w:val="22"/>
        </w:rPr>
        <w:t xml:space="preserve">decreció en 3,3 por ciento con relación a igual mes del año anterior, por la menor generación de energía </w:t>
      </w:r>
      <w:r>
        <w:rPr>
          <w:sz w:val="22"/>
        </w:rPr>
        <w:lastRenderedPageBreak/>
        <w:t>eléctrica (-4,8 por ciento), que contrarrestó el aumento en agua (2,7 por ciento). En el período enero-noviembre, el sector creció en 6,9 por ciento.</w:t>
      </w: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7D136B" w:rsidRDefault="007D136B" w:rsidP="007D136B">
      <w:pPr>
        <w:ind w:firstLine="705"/>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7D136B" w:rsidP="007D136B">
      <w:pPr>
        <w:pStyle w:val="Ttulo1"/>
        <w:jc w:val="center"/>
        <w:rPr>
          <w:sz w:val="22"/>
        </w:rPr>
      </w:pPr>
    </w:p>
    <w:p w:rsidR="00AB7ED5" w:rsidRPr="00AB7ED5" w:rsidRDefault="00AB7ED5" w:rsidP="00AB7ED5"/>
    <w:p w:rsidR="00F04DEC" w:rsidRDefault="00AB7ED5" w:rsidP="007D136B">
      <w:pPr>
        <w:jc w:val="center"/>
        <w:rPr>
          <w:sz w:val="22"/>
        </w:rPr>
        <w:sectPr w:rsidR="00F04DEC">
          <w:type w:val="continuous"/>
          <w:pgSz w:w="11907" w:h="16840" w:code="9"/>
          <w:pgMar w:top="1701" w:right="1418" w:bottom="1418" w:left="1701" w:header="1134" w:footer="1134" w:gutter="0"/>
          <w:paperSrc w:first="15"/>
          <w:cols w:space="708"/>
          <w:titlePg/>
        </w:sectPr>
      </w:pPr>
      <w:r w:rsidRPr="00AA68C5">
        <w:rPr>
          <w:sz w:val="22"/>
        </w:rPr>
        <w:object w:dxaOrig="7696" w:dyaOrig="2776">
          <v:shape id="_x0000_i1040" type="#_x0000_t75" style="width:398.25pt;height:143.25pt" o:ole="">
            <v:imagedata r:id="rId75" o:title=""/>
          </v:shape>
          <o:OLEObject Type="Embed" ProgID="Excel.Sheet.12" ShapeID="_x0000_i1040" DrawAspect="Content" ObjectID="_1388566677" r:id="rId76"/>
        </w:object>
      </w:r>
    </w:p>
    <w:p w:rsidR="00F04DEC" w:rsidRDefault="00F04DEC">
      <w:pPr>
        <w:rPr>
          <w:b/>
          <w:sz w:val="22"/>
          <w:lang w:val="es-ES_tradnl"/>
        </w:rPr>
      </w:pPr>
    </w:p>
    <w:p w:rsidR="00852557" w:rsidRPr="0052052B" w:rsidRDefault="00852557">
      <w:pPr>
        <w:rPr>
          <w:b/>
          <w:lang w:val="es-ES_tradnl"/>
        </w:rPr>
      </w:pPr>
      <w:r w:rsidRPr="0052052B">
        <w:rPr>
          <w:b/>
          <w:lang w:val="es-ES_tradnl"/>
        </w:rPr>
        <w:t>1.1.7.</w:t>
      </w:r>
      <w:r w:rsidRPr="0052052B">
        <w:rPr>
          <w:b/>
          <w:lang w:val="es-ES_tradnl"/>
        </w:rPr>
        <w:tab/>
        <w:t xml:space="preserve">Comercio: Encuesta de Ventas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77"/>
          <w:footerReference w:type="default" r:id="rId78"/>
          <w:type w:val="continuous"/>
          <w:pgSz w:w="11906" w:h="16838"/>
          <w:pgMar w:top="1417" w:right="1701" w:bottom="1417" w:left="1701" w:header="720" w:footer="720" w:gutter="0"/>
          <w:cols w:space="720"/>
          <w:titlePg/>
        </w:sectPr>
      </w:pPr>
    </w:p>
    <w:p w:rsidR="003D4908" w:rsidRDefault="00A31A23" w:rsidP="007E54D7">
      <w:pPr>
        <w:rPr>
          <w:bCs/>
          <w:sz w:val="22"/>
          <w:szCs w:val="22"/>
        </w:rPr>
      </w:pPr>
      <w:r>
        <w:rPr>
          <w:bCs/>
          <w:sz w:val="22"/>
          <w:szCs w:val="22"/>
        </w:rPr>
        <w:lastRenderedPageBreak/>
        <w:t xml:space="preserve">En el mes bajo análisis, del total de empresas encuestadas,  el </w:t>
      </w:r>
      <w:r w:rsidR="0052052B">
        <w:rPr>
          <w:bCs/>
          <w:sz w:val="22"/>
          <w:szCs w:val="22"/>
        </w:rPr>
        <w:t>62</w:t>
      </w:r>
      <w:r>
        <w:rPr>
          <w:bCs/>
          <w:sz w:val="22"/>
          <w:szCs w:val="22"/>
        </w:rPr>
        <w:t>,0 por ciento i</w:t>
      </w:r>
      <w:r w:rsidR="00735C2D">
        <w:rPr>
          <w:bCs/>
          <w:sz w:val="22"/>
          <w:szCs w:val="22"/>
        </w:rPr>
        <w:t xml:space="preserve">ncrementó sus ventas respecto a </w:t>
      </w:r>
      <w:r w:rsidR="0052052B">
        <w:rPr>
          <w:bCs/>
          <w:sz w:val="22"/>
          <w:szCs w:val="22"/>
        </w:rPr>
        <w:t>noviem</w:t>
      </w:r>
      <w:r w:rsidR="00735C2D">
        <w:rPr>
          <w:bCs/>
          <w:sz w:val="22"/>
          <w:szCs w:val="22"/>
        </w:rPr>
        <w:t>bre</w:t>
      </w:r>
      <w:r>
        <w:rPr>
          <w:bCs/>
          <w:sz w:val="22"/>
          <w:szCs w:val="22"/>
        </w:rPr>
        <w:t xml:space="preserve"> del año pasado, mientras que un </w:t>
      </w:r>
      <w:r w:rsidR="0052052B">
        <w:rPr>
          <w:bCs/>
          <w:sz w:val="22"/>
          <w:szCs w:val="22"/>
        </w:rPr>
        <w:t>29</w:t>
      </w:r>
      <w:r>
        <w:rPr>
          <w:bCs/>
          <w:sz w:val="22"/>
          <w:szCs w:val="22"/>
        </w:rPr>
        <w:t xml:space="preserve">,0 por ciento  experimentó una disminución  y </w:t>
      </w:r>
      <w:r w:rsidR="002F1E9F">
        <w:rPr>
          <w:bCs/>
          <w:sz w:val="22"/>
          <w:szCs w:val="22"/>
        </w:rPr>
        <w:t>un</w:t>
      </w:r>
      <w:r>
        <w:rPr>
          <w:bCs/>
          <w:sz w:val="22"/>
          <w:szCs w:val="22"/>
        </w:rPr>
        <w:t xml:space="preserve"> </w:t>
      </w:r>
      <w:r w:rsidR="0052052B">
        <w:rPr>
          <w:bCs/>
          <w:sz w:val="22"/>
          <w:szCs w:val="22"/>
        </w:rPr>
        <w:t>10</w:t>
      </w:r>
      <w:r>
        <w:rPr>
          <w:bCs/>
          <w:sz w:val="22"/>
          <w:szCs w:val="22"/>
        </w:rPr>
        <w:t xml:space="preserve">,0 por ciento no mostró variación alguna. Con relación al mes precedente, el </w:t>
      </w:r>
      <w:r w:rsidR="00735C2D">
        <w:rPr>
          <w:bCs/>
          <w:sz w:val="22"/>
          <w:szCs w:val="22"/>
        </w:rPr>
        <w:t>4</w:t>
      </w:r>
      <w:r w:rsidR="0052052B">
        <w:rPr>
          <w:bCs/>
          <w:sz w:val="22"/>
          <w:szCs w:val="22"/>
        </w:rPr>
        <w:t>8</w:t>
      </w:r>
      <w:r>
        <w:rPr>
          <w:bCs/>
          <w:sz w:val="22"/>
          <w:szCs w:val="22"/>
        </w:rPr>
        <w:t xml:space="preserve">,0 por ciento de las  empresas  declarantes  mostró un crecimiento en sus ventas, el </w:t>
      </w:r>
      <w:r w:rsidR="0052052B">
        <w:rPr>
          <w:bCs/>
          <w:sz w:val="22"/>
          <w:szCs w:val="22"/>
        </w:rPr>
        <w:t>22</w:t>
      </w:r>
      <w:r>
        <w:rPr>
          <w:bCs/>
          <w:sz w:val="22"/>
          <w:szCs w:val="22"/>
        </w:rPr>
        <w:t xml:space="preserve">,0 por </w:t>
      </w:r>
      <w:r w:rsidR="003D4908">
        <w:rPr>
          <w:bCs/>
          <w:sz w:val="22"/>
          <w:szCs w:val="22"/>
        </w:rPr>
        <w:br w:type="column"/>
      </w:r>
      <w:r>
        <w:rPr>
          <w:bCs/>
          <w:sz w:val="22"/>
          <w:szCs w:val="22"/>
        </w:rPr>
        <w:lastRenderedPageBreak/>
        <w:t xml:space="preserve">ciento registró una caída y el </w:t>
      </w:r>
      <w:r w:rsidR="0052052B">
        <w:rPr>
          <w:bCs/>
          <w:sz w:val="22"/>
          <w:szCs w:val="22"/>
        </w:rPr>
        <w:t>30</w:t>
      </w:r>
      <w:r w:rsidR="003D4908">
        <w:rPr>
          <w:bCs/>
          <w:sz w:val="22"/>
          <w:szCs w:val="22"/>
        </w:rPr>
        <w:t>,0</w:t>
      </w:r>
      <w:r>
        <w:rPr>
          <w:bCs/>
          <w:sz w:val="22"/>
          <w:szCs w:val="22"/>
        </w:rPr>
        <w:t xml:space="preserve"> por ciento restante no exhibió cambios. </w:t>
      </w:r>
    </w:p>
    <w:p w:rsidR="003D4908" w:rsidRDefault="003D4908" w:rsidP="007E54D7">
      <w:pPr>
        <w:rPr>
          <w:bCs/>
          <w:sz w:val="22"/>
          <w:szCs w:val="22"/>
        </w:rPr>
      </w:pPr>
    </w:p>
    <w:p w:rsidR="00FD7B8B" w:rsidRDefault="00A31A23" w:rsidP="007E54D7">
      <w:pPr>
        <w:rPr>
          <w:bCs/>
          <w:sz w:val="22"/>
          <w:szCs w:val="22"/>
        </w:rPr>
      </w:pPr>
      <w:r w:rsidRPr="003D4908">
        <w:rPr>
          <w:bCs/>
          <w:sz w:val="22"/>
          <w:szCs w:val="22"/>
        </w:rPr>
        <w:t xml:space="preserve">Para </w:t>
      </w:r>
      <w:r w:rsidR="00810FBA">
        <w:rPr>
          <w:bCs/>
          <w:sz w:val="22"/>
          <w:szCs w:val="22"/>
        </w:rPr>
        <w:t>dic</w:t>
      </w:r>
      <w:r w:rsidR="00735C2D">
        <w:rPr>
          <w:bCs/>
          <w:sz w:val="22"/>
          <w:szCs w:val="22"/>
        </w:rPr>
        <w:t>iembre</w:t>
      </w:r>
      <w:r w:rsidR="002F1E9F">
        <w:rPr>
          <w:bCs/>
          <w:sz w:val="22"/>
          <w:szCs w:val="22"/>
        </w:rPr>
        <w:t xml:space="preserve"> </w:t>
      </w:r>
      <w:r w:rsidRPr="003D4908">
        <w:rPr>
          <w:bCs/>
          <w:sz w:val="22"/>
          <w:szCs w:val="22"/>
        </w:rPr>
        <w:t xml:space="preserve">del presente  año, las perspectivas de ventas son optimistas en el </w:t>
      </w:r>
      <w:r w:rsidR="00810FBA">
        <w:rPr>
          <w:bCs/>
          <w:sz w:val="22"/>
          <w:szCs w:val="22"/>
        </w:rPr>
        <w:t>74,</w:t>
      </w:r>
      <w:r w:rsidRPr="003D4908">
        <w:rPr>
          <w:bCs/>
          <w:sz w:val="22"/>
          <w:szCs w:val="22"/>
        </w:rPr>
        <w:t xml:space="preserve">0 por ciento de los casos, pesimistas en el </w:t>
      </w:r>
      <w:r w:rsidR="00810FBA">
        <w:rPr>
          <w:bCs/>
          <w:sz w:val="22"/>
          <w:szCs w:val="22"/>
        </w:rPr>
        <w:t>4</w:t>
      </w:r>
      <w:r w:rsidRPr="003D4908">
        <w:rPr>
          <w:bCs/>
          <w:sz w:val="22"/>
          <w:szCs w:val="22"/>
        </w:rPr>
        <w:t xml:space="preserve">,0 por ciento y no se esperan cambios en el restante </w:t>
      </w:r>
      <w:r w:rsidR="003D4908">
        <w:rPr>
          <w:bCs/>
          <w:sz w:val="22"/>
          <w:szCs w:val="22"/>
        </w:rPr>
        <w:t>2</w:t>
      </w:r>
      <w:r w:rsidR="00FC4618">
        <w:rPr>
          <w:bCs/>
          <w:sz w:val="22"/>
          <w:szCs w:val="22"/>
        </w:rPr>
        <w:t>2</w:t>
      </w:r>
      <w:r w:rsidRPr="003D4908">
        <w:rPr>
          <w:bCs/>
          <w:sz w:val="22"/>
          <w:szCs w:val="22"/>
        </w:rPr>
        <w:t>,0 por ciento.</w:t>
      </w:r>
      <w:r>
        <w:rPr>
          <w:bCs/>
          <w:sz w:val="22"/>
          <w:szCs w:val="22"/>
        </w:rPr>
        <w:t xml:space="preserve"> </w:t>
      </w:r>
      <w:r w:rsidR="00810FBA">
        <w:rPr>
          <w:bCs/>
          <w:sz w:val="22"/>
          <w:szCs w:val="22"/>
        </w:rPr>
        <w:t>Esto refleja la incidencia de la campaña navideña.</w:t>
      </w:r>
    </w:p>
    <w:p w:rsidR="003D4908" w:rsidRDefault="003D4908" w:rsidP="007E54D7">
      <w:pPr>
        <w:rPr>
          <w:bCs/>
          <w:sz w:val="22"/>
          <w:szCs w:val="22"/>
        </w:rPr>
      </w:pPr>
    </w:p>
    <w:p w:rsidR="003D4908" w:rsidRDefault="003D4908" w:rsidP="007E54D7">
      <w:pPr>
        <w:rPr>
          <w:bCs/>
          <w:sz w:val="22"/>
          <w:szCs w:val="22"/>
        </w:rPr>
      </w:pPr>
    </w:p>
    <w:p w:rsidR="003D4908" w:rsidRDefault="003D4908" w:rsidP="007E54D7">
      <w:pPr>
        <w:rPr>
          <w:bCs/>
          <w:sz w:val="22"/>
          <w:szCs w:val="22"/>
        </w:rPr>
      </w:pPr>
    </w:p>
    <w:p w:rsidR="003D4908" w:rsidRDefault="003D4908" w:rsidP="007E54D7">
      <w:pPr>
        <w:rPr>
          <w:bCs/>
          <w:sz w:val="22"/>
          <w:szCs w:val="22"/>
        </w:rPr>
      </w:pPr>
    </w:p>
    <w:p w:rsidR="00FD7B8B" w:rsidRDefault="00FD7B8B" w:rsidP="004E61E3">
      <w:pPr>
        <w:rPr>
          <w:bCs/>
          <w:sz w:val="22"/>
          <w:szCs w:val="22"/>
        </w:rPr>
      </w:pPr>
    </w:p>
    <w:p w:rsidR="00987445" w:rsidRDefault="00987445" w:rsidP="00D9566C">
      <w:pPr>
        <w:ind w:left="-283"/>
        <w:rPr>
          <w:bCs/>
          <w:sz w:val="22"/>
          <w:szCs w:val="22"/>
        </w:rPr>
        <w:sectPr w:rsidR="00987445" w:rsidSect="007F6778">
          <w:headerReference w:type="default" r:id="rId79"/>
          <w:footerReference w:type="even" r:id="rId80"/>
          <w:footerReference w:type="default" r:id="rId81"/>
          <w:headerReference w:type="first" r:id="rId82"/>
          <w:footerReference w:type="first" r:id="rId83"/>
          <w:type w:val="continuous"/>
          <w:pgSz w:w="11906" w:h="16838"/>
          <w:pgMar w:top="1417" w:right="1701" w:bottom="1417" w:left="1701" w:header="720" w:footer="720" w:gutter="0"/>
          <w:cols w:num="2" w:space="720"/>
        </w:sectPr>
      </w:pPr>
    </w:p>
    <w:p w:rsidR="0052052B" w:rsidRDefault="0052052B" w:rsidP="0052052B">
      <w:pPr>
        <w:ind w:left="-794"/>
        <w:rPr>
          <w:bCs/>
          <w:sz w:val="22"/>
          <w:szCs w:val="22"/>
        </w:rPr>
        <w:sectPr w:rsidR="0052052B" w:rsidSect="0052052B">
          <w:type w:val="continuous"/>
          <w:pgSz w:w="11906" w:h="16838"/>
          <w:pgMar w:top="1417" w:right="1701" w:bottom="1417" w:left="1701" w:header="720" w:footer="720" w:gutter="0"/>
          <w:cols w:space="720"/>
        </w:sectPr>
      </w:pPr>
      <w:r w:rsidRPr="002E351C">
        <w:rPr>
          <w:bCs/>
          <w:sz w:val="22"/>
          <w:szCs w:val="22"/>
        </w:rPr>
        <w:object w:dxaOrig="9671" w:dyaOrig="6252">
          <v:shape id="_x0000_i1041" type="#_x0000_t75" style="width:506.25pt;height:327.75pt" o:ole="">
            <v:imagedata r:id="rId84" o:title=""/>
          </v:shape>
          <o:OLEObject Type="Embed" ProgID="Excel.Sheet.8" ShapeID="_x0000_i1041" DrawAspect="Content" ObjectID="_1388566678" r:id="rId85"/>
        </w:object>
      </w:r>
    </w:p>
    <w:p w:rsidR="00852557" w:rsidRDefault="00852557">
      <w:pPr>
        <w:rPr>
          <w:bCs/>
          <w:sz w:val="22"/>
          <w:szCs w:val="22"/>
        </w:rPr>
      </w:pPr>
    </w:p>
    <w:p w:rsidR="00852557" w:rsidRDefault="00852557">
      <w:pPr>
        <w:rPr>
          <w:rFonts w:ascii="Helvetica" w:hAnsi="Helvetica"/>
          <w:b/>
          <w:color w:val="FF0000"/>
          <w:sz w:val="18"/>
        </w:rPr>
      </w:pPr>
    </w:p>
    <w:p w:rsidR="00852557" w:rsidRDefault="00852557">
      <w:pPr>
        <w:rPr>
          <w:bCs/>
          <w:color w:val="FF0000"/>
          <w:sz w:val="22"/>
        </w:rPr>
      </w:pPr>
    </w:p>
    <w:p w:rsidR="00852557" w:rsidRDefault="00852557">
      <w:pPr>
        <w:rPr>
          <w:bCs/>
          <w:color w:val="FF0000"/>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782704" w:rsidRPr="00B81839" w:rsidRDefault="00782704" w:rsidP="00782704">
      <w:pPr>
        <w:pStyle w:val="Ttulo4"/>
        <w:keepNext w:val="0"/>
        <w:numPr>
          <w:ilvl w:val="0"/>
          <w:numId w:val="1"/>
        </w:numPr>
        <w:tabs>
          <w:tab w:val="clear" w:pos="-1099"/>
        </w:tabs>
        <w:rPr>
          <w:sz w:val="26"/>
        </w:rPr>
      </w:pPr>
      <w:r w:rsidRPr="00B81839">
        <w:rPr>
          <w:sz w:val="26"/>
        </w:rPr>
        <w:t>TIPO DE CAMBIO</w:t>
      </w:r>
    </w:p>
    <w:p w:rsidR="00782704" w:rsidRPr="00483779" w:rsidRDefault="00782704" w:rsidP="00782704">
      <w:pPr>
        <w:rPr>
          <w:b/>
        </w:rPr>
      </w:pPr>
    </w:p>
    <w:p w:rsidR="00782704" w:rsidRDefault="00782704" w:rsidP="00782704">
      <w:pPr>
        <w:rPr>
          <w:b/>
        </w:rPr>
      </w:pPr>
      <w:r w:rsidRPr="003D6C32">
        <w:rPr>
          <w:b/>
        </w:rPr>
        <w:t xml:space="preserve">2.1. </w:t>
      </w:r>
      <w:r w:rsidRPr="003D6C32">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854926"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Al finalizar </w:t>
      </w:r>
      <w:r w:rsidR="00B81839">
        <w:rPr>
          <w:rFonts w:ascii="Times New Roman" w:hAnsi="Times New Roman"/>
          <w:color w:val="000000"/>
          <w:szCs w:val="20"/>
          <w:lang w:val="es-ES"/>
        </w:rPr>
        <w:t>noviem</w:t>
      </w:r>
      <w:r w:rsidR="00585BE3">
        <w:rPr>
          <w:rFonts w:ascii="Times New Roman" w:hAnsi="Times New Roman"/>
          <w:color w:val="000000"/>
          <w:szCs w:val="20"/>
          <w:lang w:val="es-ES"/>
        </w:rPr>
        <w:t>bre</w:t>
      </w:r>
      <w:r>
        <w:rPr>
          <w:rFonts w:ascii="Times New Roman" w:hAnsi="Times New Roman"/>
          <w:color w:val="000000"/>
          <w:szCs w:val="20"/>
          <w:lang w:val="es-ES"/>
        </w:rPr>
        <w:t xml:space="preserve">, el tipo de cambio venta en el mercado informal de la ciudad de Piura disminuyó en </w:t>
      </w:r>
      <w:r w:rsidR="00B81839">
        <w:rPr>
          <w:rFonts w:ascii="Times New Roman" w:hAnsi="Times New Roman"/>
          <w:color w:val="000000"/>
          <w:szCs w:val="20"/>
          <w:lang w:val="es-ES"/>
        </w:rPr>
        <w:t>3</w:t>
      </w:r>
      <w:r w:rsidR="00983EDA">
        <w:rPr>
          <w:rFonts w:ascii="Times New Roman" w:hAnsi="Times New Roman"/>
          <w:color w:val="000000"/>
          <w:szCs w:val="20"/>
          <w:lang w:val="es-ES"/>
        </w:rPr>
        <w:t>,</w:t>
      </w:r>
      <w:r w:rsidR="00B81839">
        <w:rPr>
          <w:rFonts w:ascii="Times New Roman" w:hAnsi="Times New Roman"/>
          <w:color w:val="000000"/>
          <w:szCs w:val="20"/>
          <w:lang w:val="es-ES"/>
        </w:rPr>
        <w:t>6</w:t>
      </w:r>
      <w:r>
        <w:rPr>
          <w:rFonts w:ascii="Times New Roman" w:hAnsi="Times New Roman"/>
          <w:color w:val="000000"/>
          <w:szCs w:val="20"/>
          <w:lang w:val="es-ES"/>
        </w:rPr>
        <w:t xml:space="preserve"> </w:t>
      </w:r>
      <w:r>
        <w:rPr>
          <w:rFonts w:ascii="Times New Roman" w:hAnsi="Times New Roman"/>
          <w:szCs w:val="20"/>
          <w:lang w:val="es-ES"/>
        </w:rPr>
        <w:t xml:space="preserve"> </w:t>
      </w:r>
      <w:r>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Pr>
          <w:rFonts w:ascii="Times New Roman" w:hAnsi="Times New Roman"/>
          <w:color w:val="000000"/>
          <w:szCs w:val="20"/>
          <w:lang w:val="es-ES"/>
        </w:rPr>
        <w:lastRenderedPageBreak/>
        <w:t>En es</w:t>
      </w:r>
      <w:r w:rsidR="008B02AE">
        <w:rPr>
          <w:rFonts w:ascii="Times New Roman" w:hAnsi="Times New Roman"/>
          <w:color w:val="000000"/>
          <w:szCs w:val="20"/>
          <w:lang w:val="es-ES"/>
        </w:rPr>
        <w:t>ta</w:t>
      </w:r>
      <w:r w:rsidR="00B81839">
        <w:rPr>
          <w:rFonts w:ascii="Times New Roman" w:hAnsi="Times New Roman"/>
          <w:color w:val="000000"/>
          <w:szCs w:val="20"/>
          <w:lang w:val="es-ES"/>
        </w:rPr>
        <w:t xml:space="preserve"> f</w:t>
      </w:r>
      <w:r w:rsidR="008B02AE">
        <w:rPr>
          <w:rFonts w:ascii="Times New Roman" w:hAnsi="Times New Roman"/>
          <w:color w:val="000000"/>
          <w:szCs w:val="20"/>
          <w:lang w:val="es-ES"/>
        </w:rPr>
        <w:t>echa, se cotizó en  S</w:t>
      </w:r>
      <w:r w:rsidR="008B02AE" w:rsidRPr="003D6C32">
        <w:rPr>
          <w:rFonts w:ascii="Times New Roman" w:hAnsi="Times New Roman"/>
          <w:color w:val="000000"/>
          <w:szCs w:val="20"/>
          <w:lang w:val="es-ES"/>
        </w:rPr>
        <w:t>/. 2,</w:t>
      </w:r>
      <w:r w:rsidR="00B81839">
        <w:rPr>
          <w:rFonts w:ascii="Times New Roman" w:hAnsi="Times New Roman"/>
          <w:color w:val="000000"/>
          <w:szCs w:val="20"/>
          <w:lang w:val="es-ES"/>
        </w:rPr>
        <w:t>69</w:t>
      </w:r>
      <w:r>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sidR="002E3F59">
        <w:rPr>
          <w:rFonts w:ascii="Times New Roman" w:hAnsi="Times New Roman"/>
          <w:color w:val="000000"/>
          <w:szCs w:val="20"/>
          <w:lang w:val="es-ES"/>
        </w:rPr>
        <w:t>7</w:t>
      </w:r>
      <w:r w:rsidR="00B81839">
        <w:rPr>
          <w:rFonts w:ascii="Times New Roman" w:hAnsi="Times New Roman"/>
          <w:color w:val="000000"/>
          <w:szCs w:val="20"/>
          <w:lang w:val="es-ES"/>
        </w:rPr>
        <w:t>1</w:t>
      </w:r>
      <w:r w:rsidR="00983EDA">
        <w:rPr>
          <w:rFonts w:ascii="Times New Roman" w:hAnsi="Times New Roman"/>
          <w:color w:val="000000"/>
          <w:szCs w:val="20"/>
          <w:lang w:val="es-ES"/>
        </w:rPr>
        <w:t xml:space="preserve"> </w:t>
      </w:r>
      <w:r>
        <w:rPr>
          <w:rFonts w:ascii="Times New Roman" w:hAnsi="Times New Roman"/>
          <w:color w:val="000000"/>
          <w:szCs w:val="20"/>
          <w:lang w:val="es-ES"/>
        </w:rPr>
        <w:t xml:space="preserve"> la venta. En cuanto a la cotización en el sistema bancario, ésta cerró en S/.2</w:t>
      </w:r>
      <w:r w:rsidR="001F53A6">
        <w:rPr>
          <w:rFonts w:ascii="Times New Roman" w:hAnsi="Times New Roman"/>
          <w:color w:val="000000"/>
          <w:szCs w:val="20"/>
          <w:lang w:val="es-ES"/>
        </w:rPr>
        <w:t>,7</w:t>
      </w:r>
      <w:r w:rsidR="00B81839">
        <w:rPr>
          <w:rFonts w:ascii="Times New Roman" w:hAnsi="Times New Roman"/>
          <w:color w:val="000000"/>
          <w:szCs w:val="20"/>
          <w:lang w:val="es-ES"/>
        </w:rPr>
        <w:t>0</w:t>
      </w:r>
      <w:r>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782704" w:rsidRDefault="00782704" w:rsidP="00782704">
      <w:pPr>
        <w:pStyle w:val="SBS"/>
        <w:rPr>
          <w:rFonts w:ascii="Times New Roman" w:hAnsi="Times New Roman"/>
          <w:color w:val="000000"/>
          <w:szCs w:val="20"/>
          <w:highlight w:val="yellow"/>
          <w:lang w:val="es-ES"/>
        </w:rPr>
      </w:pPr>
    </w:p>
    <w:p w:rsidR="00852557" w:rsidRDefault="00377929" w:rsidP="00782704">
      <w:pPr>
        <w:pStyle w:val="SBS"/>
        <w:rPr>
          <w:rFonts w:ascii="Times New Roman" w:hAnsi="Times New Roman"/>
          <w:color w:val="FF0000"/>
          <w:szCs w:val="20"/>
          <w:lang w:val="es-ES"/>
        </w:rPr>
        <w:sectPr w:rsidR="00852557" w:rsidSect="007F6778">
          <w:type w:val="continuous"/>
          <w:pgSz w:w="11906" w:h="16838"/>
          <w:pgMar w:top="1417" w:right="1701" w:bottom="1417" w:left="1701" w:header="720" w:footer="720" w:gutter="0"/>
          <w:cols w:space="720"/>
        </w:sectPr>
      </w:pPr>
      <w:r w:rsidRPr="00C6389F">
        <w:rPr>
          <w:rFonts w:ascii="Times New Roman" w:hAnsi="Times New Roman"/>
          <w:color w:val="FF0000"/>
          <w:szCs w:val="20"/>
          <w:lang w:val="es-ES"/>
        </w:rPr>
        <w:object w:dxaOrig="9955" w:dyaOrig="4718">
          <v:shape id="_x0000_i1042" type="#_x0000_t75" style="width:438.75pt;height:207.75pt" o:ole="">
            <v:imagedata r:id="rId86" o:title=""/>
          </v:shape>
          <o:OLEObject Type="Embed" ProgID="Excel.Sheet.8" ShapeID="_x0000_i1042" DrawAspect="Content" ObjectID="_1388566679" r:id="rId87"/>
        </w:object>
      </w:r>
    </w:p>
    <w:p w:rsidR="00852557" w:rsidRPr="00247CFD" w:rsidRDefault="00852557">
      <w:pPr>
        <w:pStyle w:val="Ttulo1"/>
        <w:numPr>
          <w:ilvl w:val="0"/>
          <w:numId w:val="1"/>
        </w:numPr>
        <w:rPr>
          <w:sz w:val="26"/>
        </w:rPr>
      </w:pPr>
      <w:bookmarkStart w:id="8" w:name="_Hlt80439059"/>
      <w:bookmarkStart w:id="9" w:name="_Toc106181550"/>
      <w:r w:rsidRPr="00247CFD">
        <w:rPr>
          <w:sz w:val="26"/>
        </w:rPr>
        <w:lastRenderedPageBreak/>
        <w:t>SECTOR  EXTERNO</w:t>
      </w:r>
    </w:p>
    <w:p w:rsidR="00852557" w:rsidRPr="00483779" w:rsidRDefault="00852557">
      <w:pPr>
        <w:pStyle w:val="times"/>
        <w:spacing w:before="0" w:beforeAutospacing="0" w:after="0" w:afterAutospacing="0"/>
        <w:rPr>
          <w:rFonts w:eastAsia="Times New Roman"/>
        </w:rPr>
        <w:sectPr w:rsidR="00852557" w:rsidRPr="00483779">
          <w:headerReference w:type="default" r:id="rId88"/>
          <w:footerReference w:type="default" r:id="rId89"/>
          <w:footerReference w:type="first" r:id="rId90"/>
          <w:type w:val="continuous"/>
          <w:pgSz w:w="11907" w:h="16840" w:code="9"/>
          <w:pgMar w:top="1701" w:right="1418" w:bottom="1418" w:left="1701" w:header="1134" w:footer="1134" w:gutter="0"/>
          <w:paperSrc w:first="15"/>
          <w:cols w:space="720"/>
          <w:titlePg/>
        </w:sectPr>
      </w:pPr>
    </w:p>
    <w:p w:rsidR="00852557" w:rsidRPr="00483779" w:rsidRDefault="00852557"/>
    <w:p w:rsidR="00852557" w:rsidRPr="00483779" w:rsidRDefault="00852557">
      <w:pPr>
        <w:pStyle w:val="Ttulo2"/>
        <w:numPr>
          <w:ilvl w:val="1"/>
          <w:numId w:val="1"/>
        </w:numPr>
        <w:rPr>
          <w:rFonts w:ascii="Times New Roman" w:hAnsi="Times New Roman"/>
          <w:sz w:val="22"/>
        </w:rPr>
      </w:pPr>
      <w:bookmarkStart w:id="10" w:name="_Hlt70502150"/>
      <w:bookmarkEnd w:id="10"/>
      <w:r w:rsidRPr="00483779">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DA74A9" w:rsidRDefault="00DA74A9" w:rsidP="00DA74A9">
      <w:pPr>
        <w:pStyle w:val="Sangradetextonormal"/>
        <w:ind w:firstLine="0"/>
        <w:rPr>
          <w:sz w:val="22"/>
        </w:rPr>
      </w:pPr>
      <w:r>
        <w:rPr>
          <w:sz w:val="22"/>
        </w:rPr>
        <w:lastRenderedPageBreak/>
        <w:t xml:space="preserve">En </w:t>
      </w:r>
      <w:r w:rsidR="0052052B">
        <w:rPr>
          <w:sz w:val="22"/>
        </w:rPr>
        <w:t>nov</w:t>
      </w:r>
      <w:r>
        <w:rPr>
          <w:sz w:val="22"/>
        </w:rPr>
        <w:t xml:space="preserve">iembre, las </w:t>
      </w:r>
      <w:r>
        <w:rPr>
          <w:b/>
          <w:sz w:val="22"/>
        </w:rPr>
        <w:t>exportaciones</w:t>
      </w:r>
      <w:r>
        <w:rPr>
          <w:sz w:val="22"/>
        </w:rPr>
        <w:t xml:space="preserve"> del departamento de Piura fueron de US$135,2 millones, siendo inferiores en 3,2 por ciento en relación con las de igual mes del año pasado, por el descenso en la oferta de productos tradicionales (-70,8 por ciento), que contrarrestó el aumento en los productos no tradicionales (55,3 por ciento).</w:t>
      </w:r>
    </w:p>
    <w:p w:rsidR="00DA74A9" w:rsidRDefault="00DA74A9" w:rsidP="00DA74A9">
      <w:pPr>
        <w:pStyle w:val="Sangradetextonormal"/>
        <w:ind w:firstLine="0"/>
        <w:rPr>
          <w:sz w:val="22"/>
        </w:rPr>
      </w:pPr>
    </w:p>
    <w:p w:rsidR="00DA74A9" w:rsidRDefault="00DA74A9" w:rsidP="00DA74A9">
      <w:pPr>
        <w:pStyle w:val="Sangradetextonormal"/>
        <w:ind w:firstLine="0"/>
        <w:rPr>
          <w:sz w:val="22"/>
        </w:rPr>
      </w:pPr>
      <w:r w:rsidRPr="006C2581">
        <w:rPr>
          <w:sz w:val="22"/>
        </w:rPr>
        <w:t>En el primer grupo, disminuyeron las ventas de petróleo y derivados (-</w:t>
      </w:r>
      <w:r>
        <w:rPr>
          <w:sz w:val="22"/>
        </w:rPr>
        <w:t>83,8</w:t>
      </w:r>
      <w:r w:rsidRPr="006C2581">
        <w:rPr>
          <w:sz w:val="22"/>
        </w:rPr>
        <w:t xml:space="preserve"> por ciento), pero aumentaron las de</w:t>
      </w:r>
      <w:r>
        <w:rPr>
          <w:sz w:val="22"/>
        </w:rPr>
        <w:t xml:space="preserve"> café</w:t>
      </w:r>
      <w:r w:rsidRPr="006C2581">
        <w:rPr>
          <w:sz w:val="22"/>
        </w:rPr>
        <w:t xml:space="preserve"> (</w:t>
      </w:r>
      <w:r>
        <w:rPr>
          <w:sz w:val="22"/>
        </w:rPr>
        <w:t>154</w:t>
      </w:r>
      <w:r w:rsidRPr="006C2581">
        <w:rPr>
          <w:sz w:val="22"/>
        </w:rPr>
        <w:t>,</w:t>
      </w:r>
      <w:r>
        <w:rPr>
          <w:sz w:val="22"/>
        </w:rPr>
        <w:t>7</w:t>
      </w:r>
      <w:r w:rsidRPr="006C2581">
        <w:rPr>
          <w:sz w:val="22"/>
        </w:rPr>
        <w:t xml:space="preserve"> por ciento)</w:t>
      </w:r>
      <w:r>
        <w:rPr>
          <w:sz w:val="22"/>
        </w:rPr>
        <w:t>,</w:t>
      </w:r>
      <w:r w:rsidRPr="006C2581">
        <w:rPr>
          <w:sz w:val="22"/>
        </w:rPr>
        <w:t xml:space="preserve"> </w:t>
      </w:r>
      <w:r>
        <w:rPr>
          <w:sz w:val="22"/>
        </w:rPr>
        <w:t xml:space="preserve">harina de pescado (318,3 </w:t>
      </w:r>
      <w:r w:rsidRPr="006C2581">
        <w:rPr>
          <w:sz w:val="22"/>
        </w:rPr>
        <w:t>por ciento)</w:t>
      </w:r>
      <w:r>
        <w:rPr>
          <w:sz w:val="22"/>
        </w:rPr>
        <w:t xml:space="preserve"> </w:t>
      </w:r>
      <w:r>
        <w:rPr>
          <w:sz w:val="22"/>
        </w:rPr>
        <w:lastRenderedPageBreak/>
        <w:t>y</w:t>
      </w:r>
      <w:r w:rsidRPr="001D2553">
        <w:rPr>
          <w:sz w:val="22"/>
        </w:rPr>
        <w:t xml:space="preserve"> </w:t>
      </w:r>
      <w:r w:rsidRPr="006C2581">
        <w:rPr>
          <w:sz w:val="22"/>
        </w:rPr>
        <w:t>azúcar (</w:t>
      </w:r>
      <w:r>
        <w:rPr>
          <w:sz w:val="22"/>
        </w:rPr>
        <w:t>17</w:t>
      </w:r>
      <w:r w:rsidRPr="006C2581">
        <w:rPr>
          <w:sz w:val="22"/>
        </w:rPr>
        <w:t>,</w:t>
      </w:r>
      <w:r>
        <w:rPr>
          <w:sz w:val="22"/>
        </w:rPr>
        <w:t>7 por ciento).</w:t>
      </w:r>
      <w:r w:rsidRPr="006C2581">
        <w:rPr>
          <w:sz w:val="22"/>
        </w:rPr>
        <w:t xml:space="preserve">  En los productos no</w:t>
      </w:r>
      <w:r w:rsidRPr="002062D7">
        <w:rPr>
          <w:color w:val="FF0000"/>
          <w:sz w:val="22"/>
        </w:rPr>
        <w:t xml:space="preserve"> </w:t>
      </w:r>
      <w:r w:rsidRPr="005221BB">
        <w:rPr>
          <w:sz w:val="22"/>
        </w:rPr>
        <w:t xml:space="preserve">tradicionales, </w:t>
      </w:r>
      <w:r>
        <w:rPr>
          <w:sz w:val="22"/>
        </w:rPr>
        <w:t xml:space="preserve">se expandieron las exportaciones de </w:t>
      </w:r>
      <w:r w:rsidRPr="005221BB">
        <w:rPr>
          <w:sz w:val="22"/>
        </w:rPr>
        <w:t>conservas de pescado (</w:t>
      </w:r>
      <w:r>
        <w:rPr>
          <w:sz w:val="22"/>
        </w:rPr>
        <w:t>102</w:t>
      </w:r>
      <w:r w:rsidRPr="005221BB">
        <w:rPr>
          <w:sz w:val="22"/>
        </w:rPr>
        <w:t>,</w:t>
      </w:r>
      <w:r>
        <w:rPr>
          <w:sz w:val="22"/>
        </w:rPr>
        <w:t>4</w:t>
      </w:r>
      <w:r w:rsidRPr="005221BB">
        <w:rPr>
          <w:sz w:val="22"/>
        </w:rPr>
        <w:t xml:space="preserve"> por ciento), fosfatos naturales (</w:t>
      </w:r>
      <w:r>
        <w:rPr>
          <w:sz w:val="22"/>
        </w:rPr>
        <w:t>55</w:t>
      </w:r>
      <w:r w:rsidRPr="005221BB">
        <w:rPr>
          <w:sz w:val="22"/>
        </w:rPr>
        <w:t xml:space="preserve"> por ciento)</w:t>
      </w:r>
      <w:r>
        <w:rPr>
          <w:sz w:val="22"/>
        </w:rPr>
        <w:t>,</w:t>
      </w:r>
      <w:r w:rsidRPr="005221BB">
        <w:rPr>
          <w:sz w:val="22"/>
        </w:rPr>
        <w:t xml:space="preserve"> pota congelada (</w:t>
      </w:r>
      <w:r>
        <w:rPr>
          <w:sz w:val="22"/>
        </w:rPr>
        <w:t>44</w:t>
      </w:r>
      <w:r w:rsidRPr="005221BB">
        <w:rPr>
          <w:sz w:val="22"/>
        </w:rPr>
        <w:t>,</w:t>
      </w:r>
      <w:r>
        <w:rPr>
          <w:sz w:val="22"/>
        </w:rPr>
        <w:t>1</w:t>
      </w:r>
      <w:r w:rsidRPr="005221BB">
        <w:rPr>
          <w:sz w:val="22"/>
        </w:rPr>
        <w:t xml:space="preserve"> por ciento)</w:t>
      </w:r>
      <w:r>
        <w:rPr>
          <w:sz w:val="22"/>
        </w:rPr>
        <w:t>, pescado congelado (117,3 por ciento), uvas (140,9 por ciento), bananas (82,3 por ciento) y oleína</w:t>
      </w:r>
      <w:r w:rsidRPr="005221BB">
        <w:rPr>
          <w:sz w:val="22"/>
        </w:rPr>
        <w:t xml:space="preserve"> (1</w:t>
      </w:r>
      <w:r>
        <w:rPr>
          <w:sz w:val="22"/>
        </w:rPr>
        <w:t>2,2</w:t>
      </w:r>
      <w:r w:rsidRPr="005221BB">
        <w:rPr>
          <w:sz w:val="22"/>
        </w:rPr>
        <w:t xml:space="preserve"> por ciento). En contraste, cayeron</w:t>
      </w:r>
      <w:r>
        <w:rPr>
          <w:sz w:val="22"/>
        </w:rPr>
        <w:t xml:space="preserve"> las ventas de mangos (-91,6 por ciento), conchas de abanico </w:t>
      </w:r>
      <w:r w:rsidRPr="005221BB">
        <w:rPr>
          <w:sz w:val="22"/>
        </w:rPr>
        <w:t>(-</w:t>
      </w:r>
      <w:r>
        <w:rPr>
          <w:sz w:val="22"/>
        </w:rPr>
        <w:t>40,7</w:t>
      </w:r>
      <w:r w:rsidRPr="005221BB">
        <w:rPr>
          <w:sz w:val="22"/>
        </w:rPr>
        <w:t xml:space="preserve"> por ciento), pimientos preparados (-</w:t>
      </w:r>
      <w:r>
        <w:rPr>
          <w:sz w:val="22"/>
        </w:rPr>
        <w:t xml:space="preserve">49,6 </w:t>
      </w:r>
      <w:r w:rsidRPr="005221BB">
        <w:rPr>
          <w:sz w:val="22"/>
        </w:rPr>
        <w:t>por ciento)</w:t>
      </w:r>
      <w:r>
        <w:rPr>
          <w:sz w:val="22"/>
        </w:rPr>
        <w:t>,</w:t>
      </w:r>
      <w:r w:rsidRPr="005221BB">
        <w:rPr>
          <w:sz w:val="22"/>
        </w:rPr>
        <w:t xml:space="preserve"> </w:t>
      </w:r>
      <w:r>
        <w:rPr>
          <w:sz w:val="22"/>
        </w:rPr>
        <w:t>otras legumbres (-19</w:t>
      </w:r>
      <w:r w:rsidRPr="005221BB">
        <w:rPr>
          <w:sz w:val="22"/>
        </w:rPr>
        <w:t>,</w:t>
      </w:r>
      <w:r>
        <w:rPr>
          <w:sz w:val="22"/>
        </w:rPr>
        <w:t>6</w:t>
      </w:r>
      <w:r w:rsidRPr="005221BB">
        <w:rPr>
          <w:sz w:val="22"/>
        </w:rPr>
        <w:t xml:space="preserve"> por ciento)</w:t>
      </w:r>
      <w:r>
        <w:rPr>
          <w:sz w:val="22"/>
        </w:rPr>
        <w:t xml:space="preserve"> e hi</w:t>
      </w:r>
      <w:r w:rsidRPr="005221BB">
        <w:rPr>
          <w:sz w:val="22"/>
        </w:rPr>
        <w:t>lados (-</w:t>
      </w:r>
      <w:r>
        <w:rPr>
          <w:sz w:val="22"/>
        </w:rPr>
        <w:t>25</w:t>
      </w:r>
      <w:r w:rsidRPr="005221BB">
        <w:rPr>
          <w:sz w:val="22"/>
        </w:rPr>
        <w:t>,</w:t>
      </w:r>
      <w:r>
        <w:rPr>
          <w:sz w:val="22"/>
        </w:rPr>
        <w:t>5</w:t>
      </w:r>
      <w:r w:rsidRPr="005221BB">
        <w:rPr>
          <w:sz w:val="22"/>
        </w:rPr>
        <w:t xml:space="preserve"> por ciento)</w:t>
      </w:r>
      <w:r>
        <w:rPr>
          <w:sz w:val="22"/>
        </w:rPr>
        <w:t>.</w:t>
      </w:r>
    </w:p>
    <w:p w:rsidR="00DA74A9" w:rsidRDefault="00DA74A9" w:rsidP="00DA74A9">
      <w:pPr>
        <w:pStyle w:val="Sangradetextonormal"/>
        <w:ind w:firstLine="0"/>
        <w:rPr>
          <w:sz w:val="22"/>
        </w:rPr>
        <w:sectPr w:rsidR="00DA74A9"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1C335B" w:rsidRDefault="001C335B" w:rsidP="001C335B">
      <w:pPr>
        <w:pStyle w:val="Sangradetextonormal"/>
        <w:ind w:firstLine="0"/>
        <w:rPr>
          <w:sz w:val="22"/>
        </w:rPr>
      </w:pPr>
    </w:p>
    <w:p w:rsidR="006062DB" w:rsidRDefault="006062DB">
      <w:pPr>
        <w:ind w:firstLine="708"/>
        <w:jc w:val="center"/>
        <w:rPr>
          <w:sz w:val="22"/>
        </w:rPr>
        <w:sectPr w:rsidR="006062DB">
          <w:type w:val="continuous"/>
          <w:pgSz w:w="11907" w:h="16840" w:code="9"/>
          <w:pgMar w:top="1701" w:right="1418" w:bottom="1418" w:left="1701" w:header="1134" w:footer="1134" w:gutter="0"/>
          <w:paperSrc w:first="15"/>
          <w:cols w:num="2" w:space="708"/>
          <w:titlePg/>
        </w:sectPr>
      </w:pPr>
    </w:p>
    <w:p w:rsidR="00852557" w:rsidRDefault="00852557">
      <w:pPr>
        <w:ind w:firstLine="708"/>
        <w:jc w:val="center"/>
        <w:rPr>
          <w:sz w:val="22"/>
        </w:rPr>
      </w:pPr>
    </w:p>
    <w:p w:rsidR="00852557" w:rsidRDefault="00852557">
      <w:pPr>
        <w:ind w:firstLine="708"/>
        <w:jc w:val="center"/>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701F39">
      <w:pPr>
        <w:jc w:val="center"/>
        <w:rPr>
          <w:sz w:val="22"/>
        </w:rPr>
      </w:pPr>
      <w:r w:rsidRPr="00AA68C5">
        <w:rPr>
          <w:sz w:val="22"/>
        </w:rPr>
        <w:object w:dxaOrig="7889" w:dyaOrig="7222">
          <v:shape id="_x0000_i1043" type="#_x0000_t75" style="width:394.5pt;height:360.75pt" o:ole="">
            <v:imagedata r:id="rId91" o:title=""/>
          </v:shape>
          <o:OLEObject Type="Embed" ProgID="Excel.Sheet.12" ShapeID="_x0000_i1043" DrawAspect="Content" ObjectID="_1388566680" r:id="rId92"/>
        </w:object>
      </w:r>
    </w:p>
    <w:p w:rsidR="00852557" w:rsidRDefault="00852557">
      <w:pPr>
        <w:ind w:firstLine="708"/>
        <w:jc w:val="center"/>
        <w:rPr>
          <w:sz w:val="22"/>
        </w:rPr>
      </w:pPr>
    </w:p>
    <w:p w:rsidR="00852557" w:rsidRDefault="00852557">
      <w:pPr>
        <w:ind w:firstLine="708"/>
        <w:jc w:val="center"/>
        <w:rPr>
          <w:sz w:val="22"/>
        </w:rPr>
      </w:pPr>
    </w:p>
    <w:p w:rsidR="00852557" w:rsidRDefault="00852557">
      <w:pPr>
        <w:ind w:firstLine="708"/>
        <w:rPr>
          <w:sz w:val="22"/>
        </w:rPr>
      </w:pPr>
    </w:p>
    <w:p w:rsidR="001C335B" w:rsidRDefault="001C335B">
      <w:pPr>
        <w:ind w:firstLine="708"/>
        <w:rPr>
          <w:sz w:val="22"/>
        </w:rPr>
      </w:pPr>
    </w:p>
    <w:p w:rsidR="001C335B" w:rsidRDefault="001C335B">
      <w:pPr>
        <w:ind w:firstLine="708"/>
        <w:rPr>
          <w:sz w:val="22"/>
        </w:rPr>
      </w:pPr>
    </w:p>
    <w:p w:rsidR="00A05534" w:rsidRDefault="00A05534">
      <w:pPr>
        <w:ind w:firstLine="708"/>
        <w:rPr>
          <w:sz w:val="22"/>
        </w:rPr>
        <w:sectPr w:rsidR="00A05534">
          <w:type w:val="continuous"/>
          <w:pgSz w:w="11907" w:h="16840" w:code="9"/>
          <w:pgMar w:top="1701" w:right="1418" w:bottom="1418" w:left="1701" w:header="1134" w:footer="1134" w:gutter="0"/>
          <w:paperSrc w:first="15"/>
          <w:cols w:space="708"/>
          <w:titlePg/>
        </w:sectPr>
      </w:pPr>
    </w:p>
    <w:p w:rsidR="00630A29" w:rsidRDefault="00630A29" w:rsidP="0057590E">
      <w:pPr>
        <w:rPr>
          <w:sz w:val="22"/>
        </w:rPr>
        <w:sectPr w:rsidR="00630A29">
          <w:type w:val="continuous"/>
          <w:pgSz w:w="11907" w:h="16840" w:code="9"/>
          <w:pgMar w:top="1701" w:right="1418" w:bottom="1418" w:left="1701" w:header="1134" w:footer="1134" w:gutter="0"/>
          <w:paperSrc w:first="15"/>
          <w:cols w:num="2" w:space="720" w:equalWidth="0">
            <w:col w:w="4040" w:space="708"/>
            <w:col w:w="4040"/>
          </w:cols>
          <w:titlePg/>
        </w:sectPr>
      </w:pPr>
    </w:p>
    <w:p w:rsidR="00701F39" w:rsidRDefault="00701F39" w:rsidP="001C335B">
      <w:pPr>
        <w:rPr>
          <w:bCs/>
          <w:sz w:val="22"/>
        </w:rPr>
        <w:sectPr w:rsidR="00701F39" w:rsidSect="00701F39">
          <w:type w:val="continuous"/>
          <w:pgSz w:w="11907" w:h="16840" w:code="9"/>
          <w:pgMar w:top="1701" w:right="1418" w:bottom="1418" w:left="1701" w:header="1134" w:footer="1134" w:gutter="0"/>
          <w:paperSrc w:first="15"/>
          <w:cols w:num="2" w:space="708"/>
          <w:titlePg/>
        </w:sectPr>
      </w:pPr>
      <w:r>
        <w:rPr>
          <w:sz w:val="22"/>
        </w:rPr>
        <w:lastRenderedPageBreak/>
        <w:t xml:space="preserve">En el período enero-noviembre, las exportaciones registraron un incremento de 36,5 por ciento. La participación relativa de </w:t>
      </w:r>
      <w:r>
        <w:rPr>
          <w:sz w:val="22"/>
        </w:rPr>
        <w:lastRenderedPageBreak/>
        <w:t>las exportaciones tradicionales fue de</w:t>
      </w:r>
      <w:r>
        <w:rPr>
          <w:bCs/>
          <w:sz w:val="22"/>
        </w:rPr>
        <w:t xml:space="preserve"> 49,4 por ciento frente a 50,6 por ciento de las no tradicionales.</w:t>
      </w:r>
    </w:p>
    <w:p w:rsidR="001C335B" w:rsidRDefault="001C335B" w:rsidP="001C335B">
      <w:pPr>
        <w:rPr>
          <w:bCs/>
          <w:sz w:val="22"/>
        </w:rPr>
      </w:pPr>
    </w:p>
    <w:p w:rsidR="00852557" w:rsidRDefault="00B85C23" w:rsidP="007C5414">
      <w:pPr>
        <w:rPr>
          <w:bCs/>
          <w:sz w:val="22"/>
        </w:rPr>
      </w:pPr>
      <w:r>
        <w:rPr>
          <w:bCs/>
          <w:sz w:val="22"/>
        </w:rPr>
        <w:t xml:space="preserve"> </w:t>
      </w:r>
    </w:p>
    <w:p w:rsidR="005B7A80" w:rsidRDefault="005B7A80" w:rsidP="007C5414">
      <w:pPr>
        <w:rPr>
          <w:bCs/>
          <w:sz w:val="22"/>
        </w:rPr>
      </w:pPr>
    </w:p>
    <w:p w:rsidR="005B7A80" w:rsidRDefault="005B7A80" w:rsidP="007C5414">
      <w:pPr>
        <w:rPr>
          <w:bCs/>
          <w:sz w:val="22"/>
        </w:rPr>
        <w:sectPr w:rsidR="005B7A80">
          <w:type w:val="continuous"/>
          <w:pgSz w:w="11907" w:h="16840" w:code="9"/>
          <w:pgMar w:top="1701" w:right="1418" w:bottom="1418" w:left="1701" w:header="1134" w:footer="1134" w:gutter="0"/>
          <w:paperSrc w:first="15"/>
          <w:cols w:num="2" w:space="720" w:equalWidth="0">
            <w:col w:w="4040" w:space="708"/>
            <w:col w:w="4040"/>
          </w:cols>
          <w:titlePg/>
        </w:sectPr>
      </w:pPr>
    </w:p>
    <w:p w:rsidR="00B603DD" w:rsidRDefault="00B603DD" w:rsidP="00904E9D">
      <w:pPr>
        <w:jc w:val="center"/>
      </w:pPr>
    </w:p>
    <w:p w:rsidR="007E0019" w:rsidRDefault="005D0716" w:rsidP="00904E9D">
      <w:pPr>
        <w:jc w:val="center"/>
        <w:rPr>
          <w:bCs/>
          <w:sz w:val="22"/>
        </w:rPr>
        <w:sectPr w:rsidR="007E0019">
          <w:type w:val="continuous"/>
          <w:pgSz w:w="11907" w:h="16840" w:code="9"/>
          <w:pgMar w:top="1701" w:right="1418" w:bottom="1418" w:left="1701" w:header="1134" w:footer="1134" w:gutter="0"/>
          <w:paperSrc w:first="15"/>
          <w:cols w:space="708"/>
          <w:titlePg/>
        </w:sectPr>
      </w:pPr>
      <w:r w:rsidRPr="00AA68C5">
        <w:rPr>
          <w:bCs/>
          <w:sz w:val="22"/>
        </w:rPr>
        <w:object w:dxaOrig="20024" w:dyaOrig="8811">
          <v:shape id="_x0000_i1044" type="#_x0000_t75" style="width:439.5pt;height:192.75pt" o:ole="">
            <v:imagedata r:id="rId93" o:title=""/>
          </v:shape>
          <o:OLEObject Type="Embed" ProgID="Excel.Sheet.12" ShapeID="_x0000_i1044" DrawAspect="Content" ObjectID="_1388566681" r:id="rId94"/>
        </w:object>
      </w:r>
    </w:p>
    <w:p w:rsidR="001C335B" w:rsidRDefault="001C335B" w:rsidP="00904E9D">
      <w:pPr>
        <w:pStyle w:val="Sangradetextonormal"/>
        <w:ind w:firstLine="0"/>
        <w:rPr>
          <w:sz w:val="22"/>
        </w:rPr>
      </w:pPr>
    </w:p>
    <w:p w:rsidR="00703496" w:rsidRDefault="00703496" w:rsidP="00904E9D">
      <w:pPr>
        <w:pStyle w:val="Sangradetextonormal"/>
        <w:ind w:firstLine="0"/>
        <w:rPr>
          <w:sz w:val="22"/>
        </w:rPr>
      </w:pPr>
    </w:p>
    <w:p w:rsidR="00703496" w:rsidRDefault="00703496" w:rsidP="001C335B">
      <w:pPr>
        <w:pStyle w:val="Sangradetextonormal"/>
        <w:ind w:firstLine="0"/>
        <w:rPr>
          <w:sz w:val="22"/>
        </w:rPr>
      </w:pPr>
    </w:p>
    <w:p w:rsidR="00701F39" w:rsidRDefault="00701F39" w:rsidP="001C335B">
      <w:pPr>
        <w:pStyle w:val="Sangradetextonormal"/>
        <w:ind w:firstLine="0"/>
        <w:rPr>
          <w:sz w:val="22"/>
        </w:rPr>
      </w:pPr>
    </w:p>
    <w:p w:rsidR="00703496" w:rsidRDefault="00703496" w:rsidP="001C335B">
      <w:pPr>
        <w:pStyle w:val="Sangradetextonormal"/>
        <w:ind w:firstLine="0"/>
        <w:rPr>
          <w:sz w:val="22"/>
        </w:rPr>
        <w:sectPr w:rsidR="00703496" w:rsidSect="008441CC">
          <w:type w:val="continuous"/>
          <w:pgSz w:w="11907" w:h="16840" w:code="9"/>
          <w:pgMar w:top="1701" w:right="1418" w:bottom="1418" w:left="1701" w:header="1134" w:footer="1134" w:gutter="0"/>
          <w:paperSrc w:first="15"/>
          <w:cols w:num="2" w:space="720"/>
          <w:titlePg/>
        </w:sectPr>
      </w:pPr>
    </w:p>
    <w:p w:rsidR="001C335B" w:rsidRDefault="00701F39" w:rsidP="001C335B">
      <w:pPr>
        <w:pStyle w:val="Sangradetextonormal"/>
        <w:ind w:firstLine="0"/>
        <w:rPr>
          <w:sz w:val="22"/>
        </w:rPr>
      </w:pPr>
      <w:r>
        <w:rPr>
          <w:sz w:val="22"/>
        </w:rPr>
        <w:lastRenderedPageBreak/>
        <w:t xml:space="preserve">Las ventas de petróleo y derivados representaron el 42,6 por ciento del ingreso </w:t>
      </w:r>
      <w:r>
        <w:rPr>
          <w:sz w:val="22"/>
        </w:rPr>
        <w:lastRenderedPageBreak/>
        <w:t>de divisas frente al 52,2 por ciento en igual lapso del año anterior.</w:t>
      </w:r>
    </w:p>
    <w:p w:rsidR="008441CC" w:rsidRDefault="008441CC">
      <w:pPr>
        <w:pStyle w:val="Sangradetextonormal"/>
        <w:ind w:firstLine="0"/>
        <w:rPr>
          <w:sz w:val="22"/>
        </w:rPr>
        <w:sectPr w:rsidR="008441CC" w:rsidSect="00703496">
          <w:type w:val="continuous"/>
          <w:pgSz w:w="11907" w:h="16840" w:code="9"/>
          <w:pgMar w:top="1701" w:right="1418" w:bottom="1418" w:left="1701" w:header="1134" w:footer="1134" w:gutter="0"/>
          <w:paperSrc w:first="15"/>
          <w:cols w:num="2" w:space="720"/>
          <w:titlePg/>
        </w:sectPr>
      </w:pPr>
    </w:p>
    <w:p w:rsidR="008441CC" w:rsidRDefault="008441CC">
      <w:pPr>
        <w:pStyle w:val="Sangradetextonormal"/>
        <w:ind w:firstLine="0"/>
        <w:rPr>
          <w:sz w:val="22"/>
        </w:rPr>
        <w:sectPr w:rsidR="008441CC">
          <w:type w:val="continuous"/>
          <w:pgSz w:w="11907" w:h="16840" w:code="9"/>
          <w:pgMar w:top="1701" w:right="1418" w:bottom="1418" w:left="1701" w:header="1134" w:footer="1134" w:gutter="0"/>
          <w:paperSrc w:first="15"/>
          <w:cols w:num="2" w:space="720" w:equalWidth="0">
            <w:col w:w="4034" w:space="720"/>
            <w:col w:w="4034"/>
          </w:cols>
          <w:titlePg/>
        </w:sectPr>
      </w:pPr>
    </w:p>
    <w:p w:rsidR="00852557" w:rsidRDefault="00852557">
      <w:pPr>
        <w:pStyle w:val="Sangradetextonormal"/>
        <w:ind w:firstLine="0"/>
        <w:rPr>
          <w:sz w:val="22"/>
        </w:rPr>
      </w:pPr>
    </w:p>
    <w:p w:rsidR="00852557" w:rsidRDefault="00852557">
      <w:pPr>
        <w:pStyle w:val="Sangradetextonormal"/>
        <w:ind w:firstLine="0"/>
        <w:rPr>
          <w:sz w:val="22"/>
        </w:rPr>
      </w:pPr>
    </w:p>
    <w:p w:rsidR="00852557" w:rsidRDefault="00852557">
      <w:pPr>
        <w:pStyle w:val="Sangradetextonormal"/>
        <w:rPr>
          <w:sz w:val="22"/>
        </w:rPr>
      </w:pPr>
    </w:p>
    <w:p w:rsidR="00701F39" w:rsidRDefault="00701F39">
      <w:pPr>
        <w:pStyle w:val="Sangradetextonormal"/>
        <w:rPr>
          <w:sz w:val="22"/>
        </w:rPr>
        <w:sectPr w:rsidR="00701F39">
          <w:type w:val="continuous"/>
          <w:pgSz w:w="11907" w:h="16840" w:code="9"/>
          <w:pgMar w:top="1701" w:right="1418" w:bottom="1418" w:left="1701" w:header="1134" w:footer="1134" w:gutter="0"/>
          <w:paperSrc w:first="15"/>
          <w:cols w:num="2" w:space="720" w:equalWidth="0">
            <w:col w:w="4034" w:space="720"/>
            <w:col w:w="4034"/>
          </w:cols>
          <w:titlePg/>
        </w:sectPr>
      </w:pPr>
    </w:p>
    <w:p w:rsidR="00852557" w:rsidRDefault="005D0716" w:rsidP="00701F39">
      <w:pPr>
        <w:pStyle w:val="Sangradetextonormal"/>
        <w:ind w:left="-567" w:firstLine="0"/>
        <w:jc w:val="center"/>
        <w:sectPr w:rsidR="00852557">
          <w:type w:val="continuous"/>
          <w:pgSz w:w="11907" w:h="16840" w:code="9"/>
          <w:pgMar w:top="1701" w:right="1418" w:bottom="1418" w:left="1701" w:header="1134" w:footer="1134" w:gutter="0"/>
          <w:paperSrc w:first="15"/>
          <w:cols w:space="720"/>
          <w:titlePg/>
        </w:sectPr>
      </w:pPr>
      <w:r>
        <w:object w:dxaOrig="20024" w:dyaOrig="9161">
          <v:shape id="_x0000_i1045" type="#_x0000_t75" style="width:478.5pt;height:218.25pt" o:ole="">
            <v:imagedata r:id="rId95" o:title=""/>
          </v:shape>
          <o:OLEObject Type="Embed" ProgID="Excel.Sheet.12" ShapeID="_x0000_i1045" DrawAspect="Content" ObjectID="_1388566682" r:id="rId96"/>
        </w:object>
      </w:r>
    </w:p>
    <w:p w:rsidR="00547AA1" w:rsidRDefault="00547AA1" w:rsidP="00ED1B8C">
      <w:pPr>
        <w:pStyle w:val="Sangradetextonormal"/>
        <w:ind w:firstLine="0"/>
      </w:pPr>
    </w:p>
    <w:p w:rsidR="00A05534" w:rsidRDefault="00A05534" w:rsidP="00ED1B8C">
      <w:pPr>
        <w:pStyle w:val="Sangradetextonormal"/>
        <w:ind w:firstLine="0"/>
      </w:pPr>
    </w:p>
    <w:p w:rsidR="00A05534" w:rsidRDefault="00A05534" w:rsidP="00ED1B8C">
      <w:pPr>
        <w:pStyle w:val="Sangradetextonormal"/>
        <w:ind w:firstLine="0"/>
      </w:pPr>
    </w:p>
    <w:p w:rsidR="00A05534" w:rsidRDefault="00A05534" w:rsidP="00ED1B8C">
      <w:pPr>
        <w:pStyle w:val="Sangradetextonormal"/>
        <w:ind w:firstLine="0"/>
      </w:pPr>
    </w:p>
    <w:p w:rsidR="00A05534" w:rsidRDefault="00A05534" w:rsidP="00ED1B8C">
      <w:pPr>
        <w:pStyle w:val="Sangradetextonormal"/>
        <w:ind w:firstLine="0"/>
      </w:pPr>
    </w:p>
    <w:p w:rsidR="00A05534" w:rsidRDefault="00A05534" w:rsidP="00ED1B8C">
      <w:pPr>
        <w:pStyle w:val="Sangradetextonormal"/>
        <w:ind w:firstLine="0"/>
      </w:pPr>
    </w:p>
    <w:p w:rsidR="00A05534" w:rsidRDefault="00A05534" w:rsidP="00ED1B8C">
      <w:pPr>
        <w:pStyle w:val="Sangradetextonormal"/>
        <w:ind w:firstLine="0"/>
      </w:pPr>
    </w:p>
    <w:p w:rsidR="00A05534" w:rsidRDefault="00A05534" w:rsidP="00ED1B8C">
      <w:pPr>
        <w:pStyle w:val="Sangradetextonormal"/>
        <w:ind w:firstLine="0"/>
      </w:pPr>
    </w:p>
    <w:p w:rsidR="00A05534" w:rsidRDefault="00A05534" w:rsidP="00ED1B8C">
      <w:pPr>
        <w:pStyle w:val="Sangradetextonormal"/>
        <w:ind w:firstLine="0"/>
      </w:pPr>
    </w:p>
    <w:p w:rsidR="00A05534" w:rsidRDefault="00A05534" w:rsidP="00ED1B8C">
      <w:pPr>
        <w:pStyle w:val="Sangradetextonormal"/>
        <w:ind w:firstLine="0"/>
      </w:pPr>
    </w:p>
    <w:p w:rsidR="00852557" w:rsidRDefault="00701F39" w:rsidP="00703496">
      <w:pPr>
        <w:pStyle w:val="Sangradetextonormal"/>
        <w:ind w:left="-57" w:firstLine="0"/>
        <w:jc w:val="center"/>
      </w:pPr>
      <w:r>
        <w:object w:dxaOrig="9364" w:dyaOrig="9910">
          <v:shape id="_x0000_i1046" type="#_x0000_t75" style="width:428.25pt;height:495.75pt" o:ole="">
            <v:imagedata r:id="rId97" o:title=""/>
          </v:shape>
          <o:OLEObject Type="Embed" ProgID="Excel.Sheet.12" ShapeID="_x0000_i1046" DrawAspect="Content" ObjectID="_1388566683" r:id="rId98"/>
        </w:object>
      </w:r>
    </w:p>
    <w:p w:rsidR="00852557" w:rsidRDefault="00852557">
      <w:pPr>
        <w:pStyle w:val="Sangradetextonormal"/>
      </w:pPr>
    </w:p>
    <w:p w:rsidR="00852557" w:rsidRDefault="00852557">
      <w:pPr>
        <w:pStyle w:val="Sangradetextonormal"/>
        <w:sectPr w:rsidR="00852557">
          <w:type w:val="continuous"/>
          <w:pgSz w:w="11907" w:h="16840" w:code="9"/>
          <w:pgMar w:top="1701" w:right="1418" w:bottom="1418" w:left="1701" w:header="1134" w:footer="1134" w:gutter="0"/>
          <w:paperSrc w:first="15"/>
          <w:cols w:space="720"/>
          <w:titlePg/>
        </w:sectPr>
      </w:pPr>
    </w:p>
    <w:p w:rsidR="00D27033" w:rsidRDefault="00D27033"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B603DD" w:rsidRDefault="00B603DD" w:rsidP="009D3FA5">
      <w:pPr>
        <w:pStyle w:val="Sangradetextonormal"/>
        <w:ind w:firstLine="0"/>
        <w:rPr>
          <w:sz w:val="22"/>
          <w:szCs w:val="22"/>
        </w:rPr>
      </w:pPr>
    </w:p>
    <w:p w:rsidR="001C335B" w:rsidRPr="001C2100" w:rsidRDefault="00701F39" w:rsidP="001C335B">
      <w:pPr>
        <w:pStyle w:val="Sangradetextonormal"/>
        <w:ind w:firstLine="0"/>
        <w:rPr>
          <w:sz w:val="22"/>
          <w:szCs w:val="22"/>
        </w:rPr>
      </w:pPr>
      <w:r w:rsidRPr="00FF04C8">
        <w:rPr>
          <w:sz w:val="22"/>
          <w:szCs w:val="22"/>
        </w:rPr>
        <w:lastRenderedPageBreak/>
        <w:t xml:space="preserve">En </w:t>
      </w:r>
      <w:r>
        <w:rPr>
          <w:sz w:val="22"/>
          <w:szCs w:val="22"/>
        </w:rPr>
        <w:t xml:space="preserve">los primeros once meses del </w:t>
      </w:r>
      <w:r w:rsidRPr="00FF04C8">
        <w:rPr>
          <w:sz w:val="22"/>
          <w:szCs w:val="22"/>
        </w:rPr>
        <w:t xml:space="preserve">2011, los principales países de destino presentaron la </w:t>
      </w:r>
      <w:r w:rsidRPr="00FF04C8">
        <w:rPr>
          <w:sz w:val="22"/>
          <w:szCs w:val="22"/>
        </w:rPr>
        <w:lastRenderedPageBreak/>
        <w:t>siguiente estructura de adquisiciones, según productos:</w:t>
      </w:r>
    </w:p>
    <w:p w:rsidR="004E61E3" w:rsidRDefault="004E61E3" w:rsidP="003B7B43">
      <w:pPr>
        <w:pStyle w:val="Sangradetextonormal"/>
        <w:ind w:firstLine="0"/>
        <w:rPr>
          <w:sz w:val="22"/>
        </w:rPr>
        <w:sectPr w:rsidR="004E61E3" w:rsidSect="004E61E3">
          <w:type w:val="continuous"/>
          <w:pgSz w:w="11907" w:h="16840" w:code="9"/>
          <w:pgMar w:top="1276" w:right="1418" w:bottom="1418" w:left="1701" w:header="1134" w:footer="1134" w:gutter="0"/>
          <w:paperSrc w:first="15"/>
          <w:cols w:num="2" w:space="720"/>
          <w:titlePg/>
        </w:sectPr>
      </w:pPr>
    </w:p>
    <w:p w:rsidR="009A1AFB" w:rsidRDefault="00701F39" w:rsidP="00AB2CA4">
      <w:pPr>
        <w:pStyle w:val="Sangradetextonormal"/>
        <w:ind w:left="-794"/>
        <w:jc w:val="center"/>
      </w:pPr>
      <w:r>
        <w:object w:dxaOrig="6631" w:dyaOrig="12786">
          <v:shape id="_x0000_i1047" type="#_x0000_t75" style="width:331.5pt;height:639pt" o:ole="">
            <v:imagedata r:id="rId99" o:title=""/>
          </v:shape>
          <o:OLEObject Type="Embed" ProgID="Excel.Sheet.12" ShapeID="_x0000_i1047" DrawAspect="Content" ObjectID="_1388566684" r:id="rId100"/>
        </w:object>
      </w:r>
    </w:p>
    <w:p w:rsidR="0057590E" w:rsidRDefault="0057590E" w:rsidP="009F1574">
      <w:pPr>
        <w:pStyle w:val="Sangradetextonormal"/>
        <w:ind w:firstLine="0"/>
        <w:sectPr w:rsidR="0057590E" w:rsidSect="009A1AFB">
          <w:type w:val="continuous"/>
          <w:pgSz w:w="11907" w:h="16840" w:code="9"/>
          <w:pgMar w:top="1701" w:right="1418" w:bottom="1418" w:left="1701" w:header="1134" w:footer="1134" w:gutter="0"/>
          <w:paperSrc w:first="15"/>
          <w:cols w:space="720"/>
          <w:titlePg/>
        </w:sectPr>
      </w:pPr>
    </w:p>
    <w:p w:rsidR="00500249" w:rsidRDefault="00701F39" w:rsidP="006353B2">
      <w:pPr>
        <w:pStyle w:val="Sangradetextonormal"/>
        <w:ind w:firstLine="0"/>
        <w:rPr>
          <w:sz w:val="22"/>
        </w:rPr>
      </w:pPr>
      <w:r>
        <w:rPr>
          <w:sz w:val="22"/>
        </w:rPr>
        <w:lastRenderedPageBreak/>
        <w:t xml:space="preserve">En cuanto a los principales productos de exportación del departamento de Piura, se </w:t>
      </w:r>
      <w:r>
        <w:rPr>
          <w:sz w:val="22"/>
        </w:rPr>
        <w:lastRenderedPageBreak/>
        <w:t>consignan a continuación los países adquirientes más importantes:</w:t>
      </w:r>
      <w:r w:rsidR="00500249">
        <w:rPr>
          <w:sz w:val="22"/>
        </w:rPr>
        <w:t xml:space="preserve">  </w:t>
      </w:r>
    </w:p>
    <w:p w:rsidR="006353B2" w:rsidRDefault="006353B2" w:rsidP="006353B2">
      <w:pPr>
        <w:pStyle w:val="Sangradetextonormal"/>
        <w:ind w:firstLine="0"/>
        <w:rPr>
          <w:sz w:val="22"/>
        </w:rPr>
      </w:pPr>
    </w:p>
    <w:p w:rsidR="006353B2" w:rsidRDefault="006353B2" w:rsidP="006353B2">
      <w:pPr>
        <w:pStyle w:val="Sangradetextonormal"/>
        <w:ind w:firstLine="0"/>
        <w:rPr>
          <w:sz w:val="22"/>
        </w:rPr>
        <w:sectPr w:rsidR="006353B2">
          <w:type w:val="continuous"/>
          <w:pgSz w:w="11907" w:h="16840" w:code="9"/>
          <w:pgMar w:top="1701" w:right="1418" w:bottom="1418" w:left="1701" w:header="1134" w:footer="1134" w:gutter="0"/>
          <w:paperSrc w:first="15"/>
          <w:cols w:num="2" w:space="720"/>
          <w:titlePg/>
        </w:sectPr>
      </w:pPr>
    </w:p>
    <w:p w:rsidR="00500249" w:rsidRDefault="00701F39" w:rsidP="00500249">
      <w:pPr>
        <w:pStyle w:val="Sangradetextonormal"/>
        <w:ind w:firstLine="0"/>
        <w:jc w:val="center"/>
        <w:rPr>
          <w:sz w:val="22"/>
        </w:rPr>
        <w:sectPr w:rsidR="00500249" w:rsidSect="00500249">
          <w:type w:val="continuous"/>
          <w:pgSz w:w="11907" w:h="16840" w:code="9"/>
          <w:pgMar w:top="1701" w:right="1418" w:bottom="1418" w:left="1701" w:header="1134" w:footer="1134" w:gutter="0"/>
          <w:paperSrc w:first="15"/>
          <w:cols w:space="720"/>
          <w:titlePg/>
        </w:sectPr>
      </w:pPr>
      <w:r w:rsidRPr="00AA68C5">
        <w:rPr>
          <w:color w:val="FF6600"/>
          <w:sz w:val="22"/>
        </w:rPr>
        <w:object w:dxaOrig="6665" w:dyaOrig="13804">
          <v:shape id="_x0000_i1048" type="#_x0000_t75" style="width:333.75pt;height:643.5pt" o:ole="">
            <v:imagedata r:id="rId101" o:title=""/>
          </v:shape>
          <o:OLEObject Type="Embed" ProgID="Excel.Sheet.12" ShapeID="_x0000_i1048" DrawAspect="Content" ObjectID="_1388566685" r:id="rId102"/>
        </w:object>
      </w:r>
    </w:p>
    <w:p w:rsidR="00852557" w:rsidRDefault="00852557">
      <w:pPr>
        <w:pStyle w:val="Ttulo2"/>
        <w:ind w:left="0"/>
        <w:jc w:val="left"/>
        <w:rPr>
          <w:rFonts w:ascii="Times New Roman" w:hAnsi="Times New Roman"/>
          <w:sz w:val="22"/>
        </w:rPr>
      </w:pPr>
      <w:r w:rsidRPr="003B7B43">
        <w:rPr>
          <w:rFonts w:ascii="Times New Roman" w:hAnsi="Times New Roman"/>
          <w:sz w:val="22"/>
        </w:rPr>
        <w:lastRenderedPageBreak/>
        <w:t xml:space="preserve">3.2.   </w:t>
      </w:r>
      <w:r w:rsidRPr="003B7B43">
        <w:rPr>
          <w:rFonts w:ascii="Times New Roman" w:hAnsi="Times New Roman"/>
          <w:sz w:val="22"/>
        </w:rPr>
        <w:tab/>
        <w:t>Importaciones</w:t>
      </w:r>
      <w:r>
        <w:rPr>
          <w:rFonts w:ascii="Times New Roman" w:hAnsi="Times New Roman"/>
          <w:sz w:val="22"/>
        </w:rPr>
        <w:t xml:space="preserve"> </w:t>
      </w: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852557" w:rsidRDefault="00852557">
      <w:pPr>
        <w:pStyle w:val="Textoindependiente"/>
        <w:rPr>
          <w:sz w:val="22"/>
        </w:rPr>
      </w:pPr>
    </w:p>
    <w:p w:rsidR="00852557" w:rsidRDefault="00852557">
      <w:pPr>
        <w:pStyle w:val="Textoindependiente"/>
        <w:rPr>
          <w:rFonts w:ascii="Times New Roman" w:hAnsi="Times New Roman"/>
          <w:sz w:val="22"/>
        </w:rPr>
        <w:sectPr w:rsidR="00852557">
          <w:type w:val="continuous"/>
          <w:pgSz w:w="11907" w:h="16840" w:code="9"/>
          <w:pgMar w:top="1701" w:right="1418" w:bottom="1418" w:left="1701" w:header="1134" w:footer="1134" w:gutter="0"/>
          <w:paperSrc w:first="15"/>
          <w:cols w:space="708"/>
          <w:titlePg/>
        </w:sectPr>
      </w:pPr>
    </w:p>
    <w:p w:rsidR="001C335B" w:rsidRPr="00F6643F" w:rsidRDefault="00701F39" w:rsidP="001C335B">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noviembre</w:t>
      </w:r>
      <w:r w:rsidRPr="00F6643F">
        <w:rPr>
          <w:rFonts w:ascii="Times New Roman" w:hAnsi="Times New Roman"/>
          <w:sz w:val="22"/>
        </w:rPr>
        <w:t>, las importaciones por Piura fueron de US$</w:t>
      </w:r>
      <w:r>
        <w:rPr>
          <w:rFonts w:ascii="Times New Roman" w:hAnsi="Times New Roman"/>
          <w:sz w:val="22"/>
        </w:rPr>
        <w:t xml:space="preserve">97,9 </w:t>
      </w:r>
      <w:r w:rsidRPr="00F6643F">
        <w:rPr>
          <w:rFonts w:ascii="Times New Roman" w:hAnsi="Times New Roman"/>
          <w:sz w:val="22"/>
        </w:rPr>
        <w:t xml:space="preserve">millones, siendo </w:t>
      </w:r>
      <w:r>
        <w:rPr>
          <w:rFonts w:ascii="Times New Roman" w:hAnsi="Times New Roman"/>
          <w:sz w:val="22"/>
        </w:rPr>
        <w:t>supe</w:t>
      </w:r>
      <w:r w:rsidRPr="00F6643F">
        <w:rPr>
          <w:rFonts w:ascii="Times New Roman" w:hAnsi="Times New Roman"/>
          <w:sz w:val="22"/>
        </w:rPr>
        <w:t xml:space="preserve">riores en </w:t>
      </w:r>
      <w:r>
        <w:rPr>
          <w:rFonts w:ascii="Times New Roman" w:hAnsi="Times New Roman"/>
          <w:sz w:val="22"/>
        </w:rPr>
        <w:t xml:space="preserve">sólo 0,8 </w:t>
      </w:r>
      <w:r w:rsidRPr="00F6643F">
        <w:rPr>
          <w:rFonts w:ascii="Times New Roman" w:hAnsi="Times New Roman"/>
          <w:sz w:val="22"/>
        </w:rPr>
        <w:t>por ciento respecto de las registradas en igual mes del año pasado</w:t>
      </w:r>
      <w:r>
        <w:rPr>
          <w:rFonts w:ascii="Times New Roman" w:hAnsi="Times New Roman"/>
          <w:sz w:val="22"/>
        </w:rPr>
        <w:t>. Esto respondió a</w:t>
      </w:r>
      <w:r w:rsidRPr="00F6643F">
        <w:rPr>
          <w:rFonts w:ascii="Times New Roman" w:hAnsi="Times New Roman"/>
          <w:sz w:val="22"/>
        </w:rPr>
        <w:t xml:space="preserve"> las m</w:t>
      </w:r>
      <w:r>
        <w:rPr>
          <w:rFonts w:ascii="Times New Roman" w:hAnsi="Times New Roman"/>
          <w:sz w:val="22"/>
        </w:rPr>
        <w:t>ay</w:t>
      </w:r>
      <w:r w:rsidRPr="00F6643F">
        <w:rPr>
          <w:rFonts w:ascii="Times New Roman" w:hAnsi="Times New Roman"/>
          <w:sz w:val="22"/>
        </w:rPr>
        <w:t xml:space="preserve">ores adquisiciones </w:t>
      </w:r>
      <w:r w:rsidRPr="00F6643F">
        <w:rPr>
          <w:rFonts w:ascii="Times New Roman" w:hAnsi="Times New Roman"/>
          <w:sz w:val="22"/>
        </w:rPr>
        <w:lastRenderedPageBreak/>
        <w:t>de materias primas y productos intermedios (</w:t>
      </w:r>
      <w:r>
        <w:rPr>
          <w:rFonts w:ascii="Times New Roman" w:hAnsi="Times New Roman"/>
          <w:sz w:val="22"/>
        </w:rPr>
        <w:t xml:space="preserve">16,7 </w:t>
      </w:r>
      <w:r w:rsidRPr="00F6643F">
        <w:rPr>
          <w:rFonts w:ascii="Times New Roman" w:hAnsi="Times New Roman"/>
          <w:sz w:val="22"/>
        </w:rPr>
        <w:t xml:space="preserve">por ciento), </w:t>
      </w:r>
      <w:r>
        <w:rPr>
          <w:rFonts w:ascii="Times New Roman" w:hAnsi="Times New Roman"/>
          <w:sz w:val="22"/>
        </w:rPr>
        <w:t xml:space="preserve">que apenas compensó la caída en </w:t>
      </w:r>
      <w:r w:rsidRPr="00F6643F">
        <w:rPr>
          <w:rFonts w:ascii="Times New Roman" w:hAnsi="Times New Roman"/>
          <w:sz w:val="22"/>
        </w:rPr>
        <w:t>bienes de capital (</w:t>
      </w:r>
      <w:r>
        <w:rPr>
          <w:rFonts w:ascii="Times New Roman" w:hAnsi="Times New Roman"/>
          <w:sz w:val="22"/>
        </w:rPr>
        <w:t xml:space="preserve">-53,3 </w:t>
      </w:r>
      <w:r w:rsidRPr="00F6643F">
        <w:rPr>
          <w:rFonts w:ascii="Times New Roman" w:hAnsi="Times New Roman"/>
          <w:sz w:val="22"/>
        </w:rPr>
        <w:t>por ciento)</w:t>
      </w:r>
      <w:r w:rsidRPr="006148B4">
        <w:rPr>
          <w:rFonts w:ascii="Times New Roman" w:hAnsi="Times New Roman"/>
          <w:sz w:val="22"/>
        </w:rPr>
        <w:t xml:space="preserve"> </w:t>
      </w:r>
      <w:r>
        <w:rPr>
          <w:rFonts w:ascii="Times New Roman" w:hAnsi="Times New Roman"/>
          <w:sz w:val="22"/>
        </w:rPr>
        <w:t xml:space="preserve">y </w:t>
      </w:r>
      <w:r w:rsidRPr="00F6643F">
        <w:rPr>
          <w:rFonts w:ascii="Times New Roman" w:hAnsi="Times New Roman"/>
          <w:sz w:val="22"/>
        </w:rPr>
        <w:t>bienes de consumo (</w:t>
      </w:r>
      <w:r>
        <w:rPr>
          <w:rFonts w:ascii="Times New Roman" w:hAnsi="Times New Roman"/>
          <w:sz w:val="22"/>
        </w:rPr>
        <w:t xml:space="preserve">-57,8 </w:t>
      </w:r>
      <w:r w:rsidRPr="00F6643F">
        <w:rPr>
          <w:rFonts w:ascii="Times New Roman" w:hAnsi="Times New Roman"/>
          <w:sz w:val="22"/>
        </w:rPr>
        <w:t>por ciento).</w:t>
      </w:r>
    </w:p>
    <w:p w:rsidR="007D136B" w:rsidRDefault="007D136B" w:rsidP="007D136B">
      <w:pPr>
        <w:pStyle w:val="Textoindependiente"/>
        <w:ind w:firstLine="709"/>
        <w:rPr>
          <w:sz w:val="22"/>
        </w:rPr>
        <w:sectPr w:rsidR="007D136B">
          <w:type w:val="continuous"/>
          <w:pgSz w:w="11907" w:h="16840" w:code="9"/>
          <w:pgMar w:top="1701" w:right="1418" w:bottom="1418" w:left="1701" w:header="1134" w:footer="1134" w:gutter="0"/>
          <w:paperSrc w:first="15"/>
          <w:cols w:num="2" w:space="708"/>
          <w:titlePg/>
        </w:sectPr>
      </w:pPr>
    </w:p>
    <w:p w:rsidR="007D136B" w:rsidRDefault="007D136B" w:rsidP="007D136B">
      <w:pPr>
        <w:pStyle w:val="Textoindependiente"/>
        <w:ind w:firstLine="709"/>
        <w:rPr>
          <w:sz w:val="22"/>
        </w:rPr>
      </w:pPr>
    </w:p>
    <w:p w:rsidR="007D136B" w:rsidRDefault="007D136B" w:rsidP="007D136B">
      <w:pPr>
        <w:pStyle w:val="Textoindependiente"/>
        <w:ind w:firstLine="709"/>
        <w:rPr>
          <w:sz w:val="22"/>
        </w:rPr>
      </w:pPr>
    </w:p>
    <w:p w:rsidR="00A05534" w:rsidRDefault="00A05534" w:rsidP="007D136B">
      <w:pPr>
        <w:pStyle w:val="Textoindependiente"/>
        <w:ind w:firstLine="709"/>
        <w:rPr>
          <w:sz w:val="22"/>
        </w:rPr>
      </w:pPr>
    </w:p>
    <w:p w:rsidR="00A05534" w:rsidRDefault="00A05534" w:rsidP="007D136B">
      <w:pPr>
        <w:pStyle w:val="Textoindependiente"/>
        <w:ind w:firstLine="709"/>
        <w:rPr>
          <w:sz w:val="22"/>
        </w:rPr>
        <w:sectPr w:rsidR="00A05534">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701F39" w:rsidP="007D136B">
      <w:pPr>
        <w:pStyle w:val="Textoindependiente"/>
        <w:ind w:left="-794" w:firstLine="709"/>
        <w:jc w:val="center"/>
        <w:rPr>
          <w:sz w:val="22"/>
        </w:rPr>
      </w:pPr>
      <w:r w:rsidRPr="00AA68C5">
        <w:rPr>
          <w:sz w:val="22"/>
        </w:rPr>
        <w:object w:dxaOrig="9811" w:dyaOrig="6816">
          <v:shape id="_x0000_i1049" type="#_x0000_t75" style="width:458.25pt;height:318pt" o:ole="">
            <v:imagedata r:id="rId103" o:title=""/>
          </v:shape>
          <o:OLEObject Type="Embed" ProgID="Excel.Sheet.12" ShapeID="_x0000_i1049" DrawAspect="Content" ObjectID="_1388566686" r:id="rId104"/>
        </w:object>
      </w:r>
    </w:p>
    <w:p w:rsidR="00A05534" w:rsidRDefault="00A05534" w:rsidP="007D136B">
      <w:pPr>
        <w:pStyle w:val="Textoindependiente"/>
        <w:ind w:left="-794" w:firstLine="709"/>
        <w:jc w:val="center"/>
        <w:rPr>
          <w:sz w:val="22"/>
        </w:rPr>
      </w:pPr>
    </w:p>
    <w:p w:rsidR="00A05534" w:rsidRDefault="00A05534" w:rsidP="007D136B">
      <w:pPr>
        <w:pStyle w:val="Textoindependiente"/>
        <w:ind w:left="-794" w:firstLine="709"/>
        <w:jc w:val="center"/>
        <w:rPr>
          <w:sz w:val="22"/>
        </w:rPr>
        <w:sectPr w:rsidR="00A05534" w:rsidSect="007D136B">
          <w:type w:val="continuous"/>
          <w:pgSz w:w="11907" w:h="16840" w:code="9"/>
          <w:pgMar w:top="1701" w:right="1418" w:bottom="1418" w:left="1701" w:header="1134" w:footer="1134" w:gutter="0"/>
          <w:paperSrc w:first="15"/>
          <w:cols w:space="720"/>
          <w:titlePg/>
        </w:sectPr>
      </w:pPr>
    </w:p>
    <w:p w:rsidR="00247CFD" w:rsidRDefault="00F153EA" w:rsidP="00247CFD">
      <w:pPr>
        <w:pStyle w:val="Sangradetextonormal"/>
        <w:ind w:firstLine="0"/>
        <w:rPr>
          <w:sz w:val="22"/>
        </w:rPr>
      </w:pPr>
      <w:r w:rsidRPr="00F153EA">
        <w:rPr>
          <w:noProof/>
          <w:sz w:val="22"/>
          <w:lang w:val="es-ES" w:eastAsia="en-US"/>
        </w:rPr>
        <w:lastRenderedPageBreak/>
        <w:pict>
          <v:shape id="_x0000_s1570" type="#_x0000_t202" style="position:absolute;left:0;text-align:left;margin-left:423.1pt;margin-top:169.1pt;width:27.55pt;height:21pt;z-index:251661824;mso-height-percent:200;mso-height-percent:200;mso-width-relative:margin;mso-height-relative:margin" stroked="f">
            <v:textbox style="mso-next-textbox:#_x0000_s1570;mso-fit-shape-to-text:t">
              <w:txbxContent>
                <w:p w:rsidR="00DB21F1" w:rsidRPr="009A1AFB" w:rsidRDefault="00DB21F1" w:rsidP="009A1AFB">
                  <w:pPr>
                    <w:rPr>
                      <w:szCs w:val="20"/>
                    </w:rPr>
                  </w:pPr>
                </w:p>
              </w:txbxContent>
            </v:textbox>
          </v:shape>
        </w:pict>
      </w:r>
      <w:r w:rsidR="00247CFD">
        <w:rPr>
          <w:sz w:val="22"/>
        </w:rPr>
        <w:t>En el período enero-noviembre, las importaciones crecieron 34,8 por ciento en relación con las de similar período del año anterior.</w:t>
      </w:r>
    </w:p>
    <w:p w:rsidR="00247CFD" w:rsidRDefault="00247CFD" w:rsidP="00247CFD">
      <w:pPr>
        <w:pStyle w:val="Sangradetextonormal"/>
        <w:ind w:firstLine="0"/>
        <w:rPr>
          <w:sz w:val="22"/>
        </w:rPr>
      </w:pPr>
      <w:r>
        <w:rPr>
          <w:sz w:val="22"/>
        </w:rPr>
        <w:lastRenderedPageBreak/>
        <w:t>La participación relativa de las materias primas fue de 82,4 por ciento frente a 12,9 por ciento de los bienes de capital y 4,7 por ciento de los bienes de consumo.</w:t>
      </w:r>
    </w:p>
    <w:p w:rsidR="001C335B" w:rsidRDefault="001C335B" w:rsidP="001C335B">
      <w:pPr>
        <w:pStyle w:val="Sangradetextonormal"/>
        <w:ind w:firstLine="0"/>
        <w:rPr>
          <w:sz w:val="22"/>
        </w:rPr>
      </w:pPr>
    </w:p>
    <w:p w:rsidR="007D136B" w:rsidRDefault="007D136B">
      <w:pPr>
        <w:pStyle w:val="Sangradetextonormal"/>
        <w:ind w:firstLine="0"/>
        <w:jc w:val="center"/>
        <w:rPr>
          <w:sz w:val="22"/>
        </w:rPr>
        <w:sectPr w:rsidR="007D136B" w:rsidSect="007D136B">
          <w:type w:val="continuous"/>
          <w:pgSz w:w="11907" w:h="16840" w:code="9"/>
          <w:pgMar w:top="1701" w:right="1418" w:bottom="1418" w:left="1701" w:header="1134" w:footer="1134" w:gutter="0"/>
          <w:paperSrc w:first="15"/>
          <w:cols w:num="2" w:space="720"/>
          <w:titlePg/>
        </w:sectPr>
      </w:pPr>
    </w:p>
    <w:p w:rsidR="00852557" w:rsidRDefault="00852557">
      <w:pPr>
        <w:pStyle w:val="Sangradetextonormal"/>
        <w:ind w:firstLine="0"/>
        <w:jc w:val="center"/>
        <w:rPr>
          <w:sz w:val="22"/>
        </w:rPr>
        <w:sectPr w:rsidR="00852557">
          <w:type w:val="continuous"/>
          <w:pgSz w:w="11907" w:h="16840" w:code="9"/>
          <w:pgMar w:top="1701" w:right="1418" w:bottom="1418" w:left="1701" w:header="1134" w:footer="1134" w:gutter="0"/>
          <w:paperSrc w:first="15"/>
          <w:cols w:space="720"/>
          <w:titlePg/>
        </w:sectPr>
      </w:pPr>
    </w:p>
    <w:p w:rsidR="00EE48F7" w:rsidRDefault="00EE48F7">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096BB9" w:rsidRDefault="00096BB9">
      <w:pPr>
        <w:pStyle w:val="Sangradetextonormal"/>
        <w:ind w:firstLine="0"/>
        <w:jc w:val="center"/>
        <w:rPr>
          <w:sz w:val="22"/>
        </w:rPr>
      </w:pPr>
    </w:p>
    <w:p w:rsidR="00EE48F7" w:rsidRDefault="005D0716" w:rsidP="00247CFD">
      <w:pPr>
        <w:pStyle w:val="Sangradetextonormal"/>
        <w:ind w:firstLine="0"/>
        <w:jc w:val="center"/>
        <w:rPr>
          <w:sz w:val="22"/>
        </w:rPr>
      </w:pPr>
      <w:r w:rsidRPr="00AA68C5">
        <w:rPr>
          <w:b/>
          <w:sz w:val="22"/>
        </w:rPr>
        <w:object w:dxaOrig="20053" w:dyaOrig="8823">
          <v:shape id="_x0000_i1050" type="#_x0000_t75" style="width:454.5pt;height:198.75pt" o:ole="">
            <v:imagedata r:id="rId105" o:title=""/>
          </v:shape>
          <o:OLEObject Type="Embed" ProgID="Excel.Sheet.12" ShapeID="_x0000_i1050" DrawAspect="Content" ObjectID="_1388566687" r:id="rId106"/>
        </w:object>
      </w:r>
    </w:p>
    <w:p w:rsidR="006353B2" w:rsidRDefault="006353B2">
      <w:pPr>
        <w:pStyle w:val="Sangradetextonormal"/>
        <w:ind w:firstLine="0"/>
        <w:rPr>
          <w:sz w:val="22"/>
        </w:rPr>
        <w:sectPr w:rsidR="006353B2">
          <w:type w:val="continuous"/>
          <w:pgSz w:w="11907" w:h="16840" w:code="9"/>
          <w:pgMar w:top="1701" w:right="1418" w:bottom="1418" w:left="1701" w:header="1134" w:footer="1134" w:gutter="0"/>
          <w:paperSrc w:first="15"/>
          <w:cols w:space="720"/>
          <w:titlePg/>
        </w:sectPr>
      </w:pPr>
    </w:p>
    <w:p w:rsidR="00B603DD" w:rsidRDefault="00B603DD" w:rsidP="001C335B">
      <w:pPr>
        <w:pStyle w:val="Sangradetextonormal"/>
        <w:ind w:firstLine="0"/>
        <w:rPr>
          <w:sz w:val="22"/>
        </w:rPr>
      </w:pPr>
    </w:p>
    <w:p w:rsidR="00247CFD" w:rsidRDefault="00247CFD" w:rsidP="00247CFD">
      <w:pPr>
        <w:pStyle w:val="Sangradetextonormal"/>
        <w:ind w:firstLine="0"/>
        <w:rPr>
          <w:sz w:val="22"/>
        </w:rPr>
        <w:sectPr w:rsidR="00247CFD">
          <w:type w:val="continuous"/>
          <w:pgSz w:w="11907" w:h="16840" w:code="9"/>
          <w:pgMar w:top="1701" w:right="1418" w:bottom="1418" w:left="1701" w:header="1134" w:footer="1134" w:gutter="0"/>
          <w:paperSrc w:first="15"/>
          <w:cols w:num="2" w:space="720"/>
          <w:titlePg/>
        </w:sectPr>
      </w:pPr>
    </w:p>
    <w:p w:rsidR="00247CFD" w:rsidRDefault="00247CFD" w:rsidP="00247CFD">
      <w:pPr>
        <w:pStyle w:val="Sangradetextonormal"/>
        <w:ind w:firstLine="0"/>
        <w:rPr>
          <w:sz w:val="22"/>
        </w:rPr>
      </w:pPr>
      <w:r>
        <w:rPr>
          <w:sz w:val="22"/>
        </w:rPr>
        <w:lastRenderedPageBreak/>
        <w:t>En el lapso enero-noviembre, los principales países de origen de las importaciones por las aduanas de Paita y Talara fueron:</w:t>
      </w:r>
    </w:p>
    <w:p w:rsidR="00247CFD" w:rsidRDefault="00247CFD" w:rsidP="00247CFD">
      <w:pPr>
        <w:pStyle w:val="Sangradetextonormal"/>
        <w:ind w:firstLine="0"/>
        <w:rPr>
          <w:bCs/>
          <w:snapToGrid w:val="0"/>
          <w:sz w:val="22"/>
        </w:rPr>
      </w:pPr>
    </w:p>
    <w:p w:rsidR="00247CFD" w:rsidRPr="001E7CE9" w:rsidRDefault="00247CFD" w:rsidP="00247CFD">
      <w:pPr>
        <w:pStyle w:val="Sangradetextonormal"/>
        <w:ind w:firstLine="0"/>
        <w:rPr>
          <w:bCs/>
          <w:snapToGrid w:val="0"/>
          <w:sz w:val="22"/>
        </w:rPr>
      </w:pPr>
      <w:r w:rsidRPr="001E7CE9">
        <w:rPr>
          <w:bCs/>
          <w:snapToGrid w:val="0"/>
          <w:sz w:val="22"/>
        </w:rPr>
        <w:t>Suiza, con US$</w:t>
      </w:r>
      <w:r>
        <w:rPr>
          <w:bCs/>
          <w:snapToGrid w:val="0"/>
          <w:sz w:val="22"/>
        </w:rPr>
        <w:t xml:space="preserve">364,4 </w:t>
      </w:r>
      <w:r w:rsidRPr="001E7CE9">
        <w:rPr>
          <w:bCs/>
          <w:snapToGrid w:val="0"/>
          <w:sz w:val="22"/>
        </w:rPr>
        <w:t xml:space="preserve">millones </w:t>
      </w:r>
      <w:r>
        <w:rPr>
          <w:bCs/>
          <w:snapToGrid w:val="0"/>
          <w:sz w:val="22"/>
        </w:rPr>
        <w:t>de</w:t>
      </w:r>
      <w:r w:rsidRPr="001E7CE9">
        <w:rPr>
          <w:bCs/>
          <w:snapToGrid w:val="0"/>
          <w:sz w:val="22"/>
        </w:rPr>
        <w:t xml:space="preserve"> petróleo y derivados (US$</w:t>
      </w:r>
      <w:r>
        <w:rPr>
          <w:bCs/>
          <w:snapToGrid w:val="0"/>
          <w:sz w:val="22"/>
        </w:rPr>
        <w:t>271</w:t>
      </w:r>
      <w:r w:rsidRPr="001E7CE9">
        <w:rPr>
          <w:bCs/>
          <w:snapToGrid w:val="0"/>
          <w:sz w:val="22"/>
        </w:rPr>
        <w:t>,</w:t>
      </w:r>
      <w:r>
        <w:rPr>
          <w:bCs/>
          <w:snapToGrid w:val="0"/>
          <w:sz w:val="22"/>
        </w:rPr>
        <w:t>9</w:t>
      </w:r>
      <w:r w:rsidRPr="001E7CE9">
        <w:rPr>
          <w:bCs/>
          <w:snapToGrid w:val="0"/>
          <w:sz w:val="22"/>
        </w:rPr>
        <w:t xml:space="preserve"> millones)</w:t>
      </w:r>
      <w:r>
        <w:rPr>
          <w:bCs/>
          <w:snapToGrid w:val="0"/>
          <w:sz w:val="22"/>
        </w:rPr>
        <w:t>,</w:t>
      </w:r>
      <w:r w:rsidRPr="001E7CE9">
        <w:rPr>
          <w:bCs/>
          <w:snapToGrid w:val="0"/>
          <w:sz w:val="22"/>
        </w:rPr>
        <w:t xml:space="preserve"> productos químicos para la industria (US$</w:t>
      </w:r>
      <w:r>
        <w:rPr>
          <w:bCs/>
          <w:snapToGrid w:val="0"/>
          <w:sz w:val="22"/>
        </w:rPr>
        <w:t>69</w:t>
      </w:r>
      <w:r w:rsidRPr="001E7CE9">
        <w:rPr>
          <w:bCs/>
          <w:snapToGrid w:val="0"/>
          <w:sz w:val="22"/>
        </w:rPr>
        <w:t>,</w:t>
      </w:r>
      <w:r>
        <w:rPr>
          <w:bCs/>
          <w:snapToGrid w:val="0"/>
          <w:sz w:val="22"/>
        </w:rPr>
        <w:t>3</w:t>
      </w:r>
      <w:r w:rsidRPr="001E7CE9">
        <w:rPr>
          <w:bCs/>
          <w:snapToGrid w:val="0"/>
          <w:sz w:val="22"/>
        </w:rPr>
        <w:t xml:space="preserve"> millones)</w:t>
      </w:r>
      <w:r>
        <w:rPr>
          <w:bCs/>
          <w:snapToGrid w:val="0"/>
          <w:sz w:val="22"/>
        </w:rPr>
        <w:t xml:space="preserve"> y</w:t>
      </w:r>
      <w:r w:rsidRPr="00F76B96">
        <w:rPr>
          <w:bCs/>
          <w:snapToGrid w:val="0"/>
          <w:sz w:val="22"/>
        </w:rPr>
        <w:t xml:space="preserve"> </w:t>
      </w:r>
      <w:r w:rsidRPr="001E7CE9">
        <w:rPr>
          <w:bCs/>
          <w:snapToGrid w:val="0"/>
          <w:sz w:val="22"/>
        </w:rPr>
        <w:t>úrea y otros abonos (US$1</w:t>
      </w:r>
      <w:r>
        <w:rPr>
          <w:bCs/>
          <w:snapToGrid w:val="0"/>
          <w:sz w:val="22"/>
        </w:rPr>
        <w:t>7</w:t>
      </w:r>
      <w:r w:rsidRPr="001E7CE9">
        <w:rPr>
          <w:bCs/>
          <w:snapToGrid w:val="0"/>
          <w:sz w:val="22"/>
        </w:rPr>
        <w:t>,</w:t>
      </w:r>
      <w:r>
        <w:rPr>
          <w:bCs/>
          <w:snapToGrid w:val="0"/>
          <w:sz w:val="22"/>
        </w:rPr>
        <w:t>4</w:t>
      </w:r>
      <w:r w:rsidRPr="001E7CE9">
        <w:rPr>
          <w:bCs/>
          <w:snapToGrid w:val="0"/>
          <w:sz w:val="22"/>
        </w:rPr>
        <w:t xml:space="preserve"> millones)</w:t>
      </w:r>
      <w:r>
        <w:rPr>
          <w:bCs/>
          <w:snapToGrid w:val="0"/>
          <w:sz w:val="22"/>
        </w:rPr>
        <w:t>.</w:t>
      </w:r>
    </w:p>
    <w:p w:rsidR="00247CFD" w:rsidRDefault="00247CFD" w:rsidP="00247CFD">
      <w:pPr>
        <w:pStyle w:val="Sangradetextonormal"/>
        <w:ind w:firstLine="0"/>
        <w:rPr>
          <w:bCs/>
          <w:snapToGrid w:val="0"/>
          <w:sz w:val="22"/>
        </w:rPr>
      </w:pPr>
    </w:p>
    <w:p w:rsidR="00247CFD" w:rsidRPr="000551B4" w:rsidRDefault="00247CFD" w:rsidP="00247CFD">
      <w:pPr>
        <w:pStyle w:val="Sangradetextonormal"/>
        <w:ind w:firstLine="0"/>
        <w:rPr>
          <w:bCs/>
          <w:snapToGrid w:val="0"/>
          <w:sz w:val="22"/>
        </w:rPr>
      </w:pPr>
      <w:r w:rsidRPr="000551B4">
        <w:rPr>
          <w:bCs/>
          <w:snapToGrid w:val="0"/>
          <w:sz w:val="22"/>
        </w:rPr>
        <w:t>Estados Unidos, con US$</w:t>
      </w:r>
      <w:r>
        <w:rPr>
          <w:bCs/>
          <w:snapToGrid w:val="0"/>
          <w:sz w:val="22"/>
        </w:rPr>
        <w:t>205</w:t>
      </w:r>
      <w:r w:rsidRPr="000551B4">
        <w:rPr>
          <w:bCs/>
          <w:snapToGrid w:val="0"/>
          <w:sz w:val="22"/>
        </w:rPr>
        <w:t>,</w:t>
      </w:r>
      <w:r>
        <w:rPr>
          <w:bCs/>
          <w:snapToGrid w:val="0"/>
          <w:sz w:val="22"/>
        </w:rPr>
        <w:t>9</w:t>
      </w:r>
      <w:r w:rsidRPr="000551B4">
        <w:rPr>
          <w:bCs/>
          <w:snapToGrid w:val="0"/>
          <w:sz w:val="22"/>
        </w:rPr>
        <w:t xml:space="preserve"> millones </w:t>
      </w:r>
      <w:r>
        <w:rPr>
          <w:bCs/>
          <w:snapToGrid w:val="0"/>
          <w:sz w:val="22"/>
        </w:rPr>
        <w:t>de</w:t>
      </w:r>
      <w:r w:rsidRPr="000551B4">
        <w:rPr>
          <w:bCs/>
          <w:snapToGrid w:val="0"/>
          <w:sz w:val="22"/>
        </w:rPr>
        <w:t xml:space="preserve"> petróleo y derivados (US$</w:t>
      </w:r>
      <w:r>
        <w:rPr>
          <w:bCs/>
          <w:snapToGrid w:val="0"/>
          <w:sz w:val="22"/>
        </w:rPr>
        <w:t>53</w:t>
      </w:r>
      <w:r w:rsidRPr="000551B4">
        <w:rPr>
          <w:bCs/>
          <w:snapToGrid w:val="0"/>
          <w:sz w:val="22"/>
        </w:rPr>
        <w:t>,</w:t>
      </w:r>
      <w:r>
        <w:rPr>
          <w:bCs/>
          <w:snapToGrid w:val="0"/>
          <w:sz w:val="22"/>
        </w:rPr>
        <w:t>7</w:t>
      </w:r>
      <w:r w:rsidRPr="000551B4">
        <w:rPr>
          <w:bCs/>
          <w:snapToGrid w:val="0"/>
          <w:sz w:val="22"/>
        </w:rPr>
        <w:t xml:space="preserve"> millones), algodón (US$</w:t>
      </w:r>
      <w:r>
        <w:rPr>
          <w:bCs/>
          <w:snapToGrid w:val="0"/>
          <w:sz w:val="22"/>
        </w:rPr>
        <w:t>11</w:t>
      </w:r>
      <w:r w:rsidRPr="000551B4">
        <w:rPr>
          <w:bCs/>
          <w:snapToGrid w:val="0"/>
          <w:sz w:val="22"/>
        </w:rPr>
        <w:t>,</w:t>
      </w:r>
      <w:r>
        <w:rPr>
          <w:bCs/>
          <w:snapToGrid w:val="0"/>
          <w:sz w:val="22"/>
        </w:rPr>
        <w:t>6</w:t>
      </w:r>
      <w:r w:rsidRPr="000551B4">
        <w:rPr>
          <w:bCs/>
          <w:snapToGrid w:val="0"/>
          <w:sz w:val="22"/>
        </w:rPr>
        <w:t xml:space="preserve"> millones), trigo (US$</w:t>
      </w:r>
      <w:r>
        <w:rPr>
          <w:bCs/>
          <w:snapToGrid w:val="0"/>
          <w:sz w:val="22"/>
        </w:rPr>
        <w:t xml:space="preserve">10,2 </w:t>
      </w:r>
      <w:r w:rsidRPr="000551B4">
        <w:rPr>
          <w:bCs/>
          <w:snapToGrid w:val="0"/>
          <w:sz w:val="22"/>
        </w:rPr>
        <w:t>millones), aceite de soja (US$</w:t>
      </w:r>
      <w:r>
        <w:rPr>
          <w:bCs/>
          <w:snapToGrid w:val="0"/>
          <w:sz w:val="22"/>
        </w:rPr>
        <w:t>13,2 m</w:t>
      </w:r>
      <w:r w:rsidRPr="000551B4">
        <w:rPr>
          <w:bCs/>
          <w:snapToGrid w:val="0"/>
          <w:sz w:val="22"/>
        </w:rPr>
        <w:t>illones), úrea y otros abonos (US$</w:t>
      </w:r>
      <w:r>
        <w:rPr>
          <w:bCs/>
          <w:snapToGrid w:val="0"/>
          <w:sz w:val="22"/>
        </w:rPr>
        <w:t>15</w:t>
      </w:r>
      <w:r w:rsidRPr="000551B4">
        <w:rPr>
          <w:bCs/>
          <w:snapToGrid w:val="0"/>
          <w:sz w:val="22"/>
        </w:rPr>
        <w:t>,</w:t>
      </w:r>
      <w:r>
        <w:rPr>
          <w:bCs/>
          <w:snapToGrid w:val="0"/>
          <w:sz w:val="22"/>
        </w:rPr>
        <w:t>4</w:t>
      </w:r>
      <w:r w:rsidRPr="000551B4">
        <w:rPr>
          <w:bCs/>
          <w:snapToGrid w:val="0"/>
          <w:sz w:val="22"/>
        </w:rPr>
        <w:t xml:space="preserve"> millones), maquinaria industrial (US$</w:t>
      </w:r>
      <w:r>
        <w:rPr>
          <w:bCs/>
          <w:snapToGrid w:val="0"/>
          <w:sz w:val="22"/>
        </w:rPr>
        <w:t xml:space="preserve">18,9 </w:t>
      </w:r>
      <w:r w:rsidRPr="000551B4">
        <w:rPr>
          <w:bCs/>
          <w:snapToGrid w:val="0"/>
          <w:sz w:val="22"/>
        </w:rPr>
        <w:t xml:space="preserve">millones), </w:t>
      </w:r>
      <w:r>
        <w:rPr>
          <w:bCs/>
          <w:snapToGrid w:val="0"/>
          <w:sz w:val="22"/>
        </w:rPr>
        <w:t>m</w:t>
      </w:r>
      <w:r w:rsidRPr="000551B4">
        <w:rPr>
          <w:bCs/>
          <w:snapToGrid w:val="0"/>
          <w:sz w:val="22"/>
        </w:rPr>
        <w:t>anufacturas de plástico (US$</w:t>
      </w:r>
      <w:r>
        <w:rPr>
          <w:bCs/>
          <w:snapToGrid w:val="0"/>
          <w:sz w:val="22"/>
        </w:rPr>
        <w:t>5</w:t>
      </w:r>
      <w:r w:rsidRPr="000551B4">
        <w:rPr>
          <w:bCs/>
          <w:snapToGrid w:val="0"/>
          <w:sz w:val="22"/>
        </w:rPr>
        <w:t>,</w:t>
      </w:r>
      <w:r>
        <w:rPr>
          <w:bCs/>
          <w:snapToGrid w:val="0"/>
          <w:sz w:val="22"/>
        </w:rPr>
        <w:t>6</w:t>
      </w:r>
      <w:r w:rsidRPr="000551B4">
        <w:rPr>
          <w:bCs/>
          <w:snapToGrid w:val="0"/>
          <w:sz w:val="22"/>
        </w:rPr>
        <w:t xml:space="preserve"> millones), </w:t>
      </w:r>
      <w:r w:rsidRPr="000551B4">
        <w:rPr>
          <w:bCs/>
          <w:snapToGrid w:val="0"/>
          <w:sz w:val="22"/>
        </w:rPr>
        <w:lastRenderedPageBreak/>
        <w:t>manufacturas de hierro (US$</w:t>
      </w:r>
      <w:r>
        <w:rPr>
          <w:bCs/>
          <w:snapToGrid w:val="0"/>
          <w:sz w:val="22"/>
        </w:rPr>
        <w:t>17</w:t>
      </w:r>
      <w:r w:rsidRPr="000551B4">
        <w:rPr>
          <w:bCs/>
          <w:snapToGrid w:val="0"/>
          <w:sz w:val="22"/>
        </w:rPr>
        <w:t>,</w:t>
      </w:r>
      <w:r>
        <w:rPr>
          <w:bCs/>
          <w:snapToGrid w:val="0"/>
          <w:sz w:val="22"/>
        </w:rPr>
        <w:t>3</w:t>
      </w:r>
      <w:r w:rsidRPr="000551B4">
        <w:rPr>
          <w:bCs/>
          <w:snapToGrid w:val="0"/>
          <w:sz w:val="22"/>
        </w:rPr>
        <w:t xml:space="preserve"> millones), barcos (US$</w:t>
      </w:r>
      <w:r>
        <w:rPr>
          <w:bCs/>
          <w:snapToGrid w:val="0"/>
          <w:sz w:val="22"/>
        </w:rPr>
        <w:t>13</w:t>
      </w:r>
      <w:r w:rsidRPr="000551B4">
        <w:rPr>
          <w:bCs/>
          <w:snapToGrid w:val="0"/>
          <w:sz w:val="22"/>
        </w:rPr>
        <w:t>,</w:t>
      </w:r>
      <w:r>
        <w:rPr>
          <w:bCs/>
          <w:snapToGrid w:val="0"/>
          <w:sz w:val="22"/>
        </w:rPr>
        <w:t>4</w:t>
      </w:r>
      <w:r w:rsidRPr="000551B4">
        <w:rPr>
          <w:bCs/>
          <w:snapToGrid w:val="0"/>
          <w:sz w:val="22"/>
        </w:rPr>
        <w:t xml:space="preserve"> millones), entre otros.</w:t>
      </w:r>
    </w:p>
    <w:p w:rsidR="00247CFD" w:rsidRDefault="00247CFD" w:rsidP="00247CFD">
      <w:pPr>
        <w:pStyle w:val="Sangradetextonormal"/>
        <w:ind w:firstLine="0"/>
        <w:rPr>
          <w:bCs/>
          <w:snapToGrid w:val="0"/>
          <w:sz w:val="22"/>
        </w:rPr>
      </w:pPr>
    </w:p>
    <w:p w:rsidR="00247CFD" w:rsidRPr="002344E7" w:rsidRDefault="00247CFD" w:rsidP="00247CFD">
      <w:pPr>
        <w:pStyle w:val="Sangradetextonormal"/>
        <w:ind w:firstLine="0"/>
        <w:rPr>
          <w:bCs/>
          <w:snapToGrid w:val="0"/>
          <w:sz w:val="22"/>
        </w:rPr>
      </w:pPr>
      <w:r w:rsidRPr="00101C6D">
        <w:rPr>
          <w:bCs/>
          <w:snapToGrid w:val="0"/>
          <w:sz w:val="22"/>
        </w:rPr>
        <w:t>Ecuador,</w:t>
      </w:r>
      <w:r w:rsidRPr="002344E7">
        <w:rPr>
          <w:bCs/>
          <w:snapToGrid w:val="0"/>
          <w:sz w:val="22"/>
        </w:rPr>
        <w:t xml:space="preserve"> con US$1</w:t>
      </w:r>
      <w:r>
        <w:rPr>
          <w:bCs/>
          <w:snapToGrid w:val="0"/>
          <w:sz w:val="22"/>
        </w:rPr>
        <w:t>42</w:t>
      </w:r>
      <w:r w:rsidRPr="002344E7">
        <w:rPr>
          <w:bCs/>
          <w:snapToGrid w:val="0"/>
          <w:sz w:val="22"/>
        </w:rPr>
        <w:t>,</w:t>
      </w:r>
      <w:r>
        <w:rPr>
          <w:bCs/>
          <w:snapToGrid w:val="0"/>
          <w:sz w:val="22"/>
        </w:rPr>
        <w:t>4</w:t>
      </w:r>
      <w:r w:rsidRPr="002344E7">
        <w:rPr>
          <w:bCs/>
          <w:snapToGrid w:val="0"/>
          <w:sz w:val="22"/>
        </w:rPr>
        <w:t xml:space="preserve"> millones </w:t>
      </w:r>
      <w:r>
        <w:rPr>
          <w:bCs/>
          <w:snapToGrid w:val="0"/>
          <w:sz w:val="22"/>
        </w:rPr>
        <w:t>de</w:t>
      </w:r>
      <w:r w:rsidRPr="002344E7">
        <w:rPr>
          <w:bCs/>
          <w:snapToGrid w:val="0"/>
          <w:sz w:val="22"/>
        </w:rPr>
        <w:t xml:space="preserve"> petróleo y derivados (US$135,9 millones)</w:t>
      </w:r>
      <w:r>
        <w:rPr>
          <w:bCs/>
          <w:snapToGrid w:val="0"/>
          <w:sz w:val="22"/>
        </w:rPr>
        <w:t>, pescado congelado (US$2,8 millones)</w:t>
      </w:r>
      <w:r w:rsidRPr="002344E7">
        <w:rPr>
          <w:bCs/>
          <w:snapToGrid w:val="0"/>
          <w:sz w:val="22"/>
        </w:rPr>
        <w:t xml:space="preserve"> y extractos y esencias de café (US$</w:t>
      </w:r>
      <w:r>
        <w:rPr>
          <w:bCs/>
          <w:snapToGrid w:val="0"/>
          <w:sz w:val="22"/>
        </w:rPr>
        <w:t>2</w:t>
      </w:r>
      <w:r w:rsidRPr="002344E7">
        <w:rPr>
          <w:bCs/>
          <w:snapToGrid w:val="0"/>
          <w:sz w:val="22"/>
        </w:rPr>
        <w:t>,</w:t>
      </w:r>
      <w:r>
        <w:rPr>
          <w:bCs/>
          <w:snapToGrid w:val="0"/>
          <w:sz w:val="22"/>
        </w:rPr>
        <w:t>5</w:t>
      </w:r>
      <w:r w:rsidRPr="002344E7">
        <w:rPr>
          <w:bCs/>
          <w:snapToGrid w:val="0"/>
          <w:sz w:val="22"/>
        </w:rPr>
        <w:t xml:space="preserve"> millones).</w:t>
      </w:r>
      <w:r>
        <w:rPr>
          <w:bCs/>
          <w:snapToGrid w:val="0"/>
          <w:sz w:val="22"/>
        </w:rPr>
        <w:t xml:space="preserve"> </w:t>
      </w:r>
    </w:p>
    <w:p w:rsidR="00247CFD" w:rsidRDefault="00247CFD" w:rsidP="00247CFD">
      <w:pPr>
        <w:pStyle w:val="Sangradetextonormal"/>
        <w:ind w:firstLine="0"/>
        <w:rPr>
          <w:bCs/>
          <w:snapToGrid w:val="0"/>
          <w:sz w:val="22"/>
        </w:rPr>
      </w:pPr>
    </w:p>
    <w:p w:rsidR="00247CFD" w:rsidRPr="001E7CE9" w:rsidRDefault="00247CFD" w:rsidP="00247CFD">
      <w:pPr>
        <w:pStyle w:val="Sangradetextonormal"/>
        <w:ind w:firstLine="0"/>
        <w:rPr>
          <w:bCs/>
          <w:snapToGrid w:val="0"/>
          <w:sz w:val="22"/>
        </w:rPr>
      </w:pPr>
      <w:r w:rsidRPr="00101C6D">
        <w:rPr>
          <w:bCs/>
          <w:snapToGrid w:val="0"/>
          <w:sz w:val="22"/>
        </w:rPr>
        <w:t>Hong Kong</w:t>
      </w:r>
      <w:r w:rsidRPr="001E7CE9">
        <w:rPr>
          <w:bCs/>
          <w:snapToGrid w:val="0"/>
          <w:sz w:val="22"/>
        </w:rPr>
        <w:t>, con US$</w:t>
      </w:r>
      <w:r>
        <w:rPr>
          <w:bCs/>
          <w:snapToGrid w:val="0"/>
          <w:sz w:val="22"/>
        </w:rPr>
        <w:t xml:space="preserve">128,7 </w:t>
      </w:r>
      <w:r w:rsidRPr="001E7CE9">
        <w:rPr>
          <w:bCs/>
          <w:snapToGrid w:val="0"/>
          <w:sz w:val="22"/>
        </w:rPr>
        <w:t>millones de petróleo y derivados (US$</w:t>
      </w:r>
      <w:r>
        <w:rPr>
          <w:bCs/>
          <w:snapToGrid w:val="0"/>
          <w:sz w:val="22"/>
        </w:rPr>
        <w:t>128,5 millones)</w:t>
      </w:r>
      <w:r w:rsidRPr="001E7CE9">
        <w:rPr>
          <w:bCs/>
          <w:snapToGrid w:val="0"/>
          <w:sz w:val="22"/>
        </w:rPr>
        <w:t xml:space="preserve"> </w:t>
      </w:r>
      <w:r>
        <w:rPr>
          <w:bCs/>
          <w:snapToGrid w:val="0"/>
          <w:sz w:val="22"/>
        </w:rPr>
        <w:t>y pescado congelado</w:t>
      </w:r>
      <w:r w:rsidRPr="001E7CE9">
        <w:rPr>
          <w:bCs/>
          <w:snapToGrid w:val="0"/>
          <w:sz w:val="22"/>
        </w:rPr>
        <w:t xml:space="preserve"> (US$</w:t>
      </w:r>
      <w:r>
        <w:rPr>
          <w:bCs/>
          <w:snapToGrid w:val="0"/>
          <w:sz w:val="22"/>
        </w:rPr>
        <w:t>0</w:t>
      </w:r>
      <w:r w:rsidRPr="001E7CE9">
        <w:rPr>
          <w:bCs/>
          <w:snapToGrid w:val="0"/>
          <w:sz w:val="22"/>
        </w:rPr>
        <w:t>,</w:t>
      </w:r>
      <w:r>
        <w:rPr>
          <w:bCs/>
          <w:snapToGrid w:val="0"/>
          <w:sz w:val="22"/>
        </w:rPr>
        <w:t>2</w:t>
      </w:r>
      <w:r w:rsidRPr="001E7CE9">
        <w:rPr>
          <w:bCs/>
          <w:snapToGrid w:val="0"/>
          <w:sz w:val="22"/>
        </w:rPr>
        <w:t xml:space="preserve"> millones).</w:t>
      </w:r>
      <w:r>
        <w:rPr>
          <w:bCs/>
          <w:snapToGrid w:val="0"/>
          <w:sz w:val="22"/>
        </w:rPr>
        <w:t xml:space="preserve"> </w:t>
      </w:r>
    </w:p>
    <w:p w:rsidR="00247CFD" w:rsidRDefault="00247CFD" w:rsidP="00247CFD">
      <w:pPr>
        <w:pStyle w:val="Sangradetextonormal"/>
        <w:ind w:firstLine="0"/>
        <w:rPr>
          <w:bCs/>
          <w:snapToGrid w:val="0"/>
          <w:sz w:val="22"/>
        </w:rPr>
      </w:pPr>
    </w:p>
    <w:p w:rsidR="00247CFD" w:rsidRDefault="00247CFD" w:rsidP="00247CFD">
      <w:pPr>
        <w:pStyle w:val="Sangradetextonormal"/>
        <w:ind w:firstLine="0"/>
        <w:rPr>
          <w:bCs/>
          <w:snapToGrid w:val="0"/>
          <w:sz w:val="22"/>
        </w:rPr>
        <w:sectPr w:rsidR="00247CFD" w:rsidSect="00247CFD">
          <w:type w:val="continuous"/>
          <w:pgSz w:w="11907" w:h="16840" w:code="9"/>
          <w:pgMar w:top="1701" w:right="1418" w:bottom="1418" w:left="1701" w:header="1134" w:footer="1134" w:gutter="0"/>
          <w:paperSrc w:first="15"/>
          <w:cols w:num="2" w:space="720"/>
          <w:titlePg/>
        </w:sectPr>
      </w:pPr>
      <w:r w:rsidRPr="00F76B96">
        <w:rPr>
          <w:bCs/>
          <w:snapToGrid w:val="0"/>
          <w:sz w:val="22"/>
        </w:rPr>
        <w:t>China, con US$</w:t>
      </w:r>
      <w:r>
        <w:rPr>
          <w:bCs/>
          <w:snapToGrid w:val="0"/>
          <w:sz w:val="22"/>
        </w:rPr>
        <w:t>57</w:t>
      </w:r>
      <w:r w:rsidRPr="00F76B96">
        <w:rPr>
          <w:bCs/>
          <w:snapToGrid w:val="0"/>
          <w:sz w:val="22"/>
        </w:rPr>
        <w:t>,</w:t>
      </w:r>
      <w:r>
        <w:rPr>
          <w:bCs/>
          <w:snapToGrid w:val="0"/>
          <w:sz w:val="22"/>
        </w:rPr>
        <w:t>7</w:t>
      </w:r>
      <w:r w:rsidRPr="00F76B96">
        <w:rPr>
          <w:bCs/>
          <w:snapToGrid w:val="0"/>
          <w:sz w:val="22"/>
        </w:rPr>
        <w:t xml:space="preserve"> millones de petróleo y derivados (US$33,6 millones), barcos (US$3,6 millones)</w:t>
      </w:r>
      <w:r>
        <w:rPr>
          <w:bCs/>
          <w:snapToGrid w:val="0"/>
          <w:sz w:val="22"/>
        </w:rPr>
        <w:t>,</w:t>
      </w:r>
      <w:r w:rsidRPr="00F76B96">
        <w:rPr>
          <w:bCs/>
          <w:snapToGrid w:val="0"/>
          <w:sz w:val="22"/>
        </w:rPr>
        <w:t xml:space="preserve"> frijoles (US$</w:t>
      </w:r>
      <w:r>
        <w:rPr>
          <w:bCs/>
          <w:snapToGrid w:val="0"/>
          <w:sz w:val="22"/>
        </w:rPr>
        <w:t>4</w:t>
      </w:r>
      <w:r w:rsidRPr="00F76B96">
        <w:rPr>
          <w:bCs/>
          <w:snapToGrid w:val="0"/>
          <w:sz w:val="22"/>
        </w:rPr>
        <w:t>,</w:t>
      </w:r>
      <w:r>
        <w:rPr>
          <w:bCs/>
          <w:snapToGrid w:val="0"/>
          <w:sz w:val="22"/>
        </w:rPr>
        <w:t>9</w:t>
      </w:r>
      <w:r w:rsidRPr="00F76B96">
        <w:rPr>
          <w:bCs/>
          <w:snapToGrid w:val="0"/>
          <w:sz w:val="22"/>
        </w:rPr>
        <w:t xml:space="preserve"> millones), </w:t>
      </w:r>
      <w:r>
        <w:rPr>
          <w:bCs/>
          <w:snapToGrid w:val="0"/>
          <w:sz w:val="22"/>
        </w:rPr>
        <w:t xml:space="preserve">maquinaria industrial (US$7,5 millones), </w:t>
      </w:r>
      <w:r w:rsidRPr="00F76B96">
        <w:rPr>
          <w:bCs/>
          <w:snapToGrid w:val="0"/>
          <w:sz w:val="22"/>
        </w:rPr>
        <w:t>entre otros.</w:t>
      </w:r>
    </w:p>
    <w:p w:rsidR="00247CFD" w:rsidRPr="000551B4" w:rsidRDefault="00247CFD" w:rsidP="00247CFD">
      <w:pPr>
        <w:pStyle w:val="Sangradetextonormal"/>
        <w:ind w:firstLine="0"/>
        <w:rPr>
          <w:bCs/>
          <w:snapToGrid w:val="0"/>
          <w:sz w:val="22"/>
        </w:rPr>
      </w:pPr>
    </w:p>
    <w:p w:rsidR="007D136B" w:rsidRDefault="001C335B" w:rsidP="007D136B">
      <w:pPr>
        <w:pStyle w:val="Sangradetextonormal"/>
        <w:ind w:firstLine="0"/>
        <w:rPr>
          <w:bCs/>
          <w:snapToGrid w:val="0"/>
          <w:sz w:val="22"/>
        </w:rPr>
      </w:pPr>
      <w:r w:rsidRPr="000551B4">
        <w:rPr>
          <w:bCs/>
          <w:snapToGrid w:val="0"/>
          <w:sz w:val="22"/>
        </w:rPr>
        <w:t xml:space="preserve"> </w:t>
      </w:r>
      <w:r>
        <w:rPr>
          <w:bCs/>
          <w:snapToGrid w:val="0"/>
          <w:sz w:val="22"/>
        </w:rPr>
        <w:br w:type="column"/>
      </w:r>
    </w:p>
    <w:p w:rsidR="007D136B" w:rsidRDefault="007D136B" w:rsidP="007D136B">
      <w:pPr>
        <w:pStyle w:val="Sangradetextonormal"/>
        <w:ind w:firstLine="0"/>
        <w:rPr>
          <w:bCs/>
          <w:snapToGrid w:val="0"/>
          <w:sz w:val="22"/>
        </w:rPr>
      </w:pPr>
    </w:p>
    <w:p w:rsidR="00A05534" w:rsidRDefault="00A05534" w:rsidP="007D136B">
      <w:pPr>
        <w:pStyle w:val="Sangradetextonormal"/>
        <w:ind w:firstLine="0"/>
        <w:rPr>
          <w:bCs/>
          <w:snapToGrid w:val="0"/>
          <w:sz w:val="22"/>
        </w:rPr>
      </w:pPr>
    </w:p>
    <w:p w:rsidR="001C335B" w:rsidRDefault="001C335B" w:rsidP="007D136B">
      <w:pPr>
        <w:pStyle w:val="Sangradetextonormal"/>
        <w:ind w:firstLine="0"/>
        <w:rPr>
          <w:bCs/>
          <w:snapToGrid w:val="0"/>
          <w:sz w:val="22"/>
        </w:rPr>
        <w:sectPr w:rsidR="001C335B">
          <w:type w:val="continuous"/>
          <w:pgSz w:w="11907" w:h="16840" w:code="9"/>
          <w:pgMar w:top="1701" w:right="1418" w:bottom="1418" w:left="1701" w:header="1134" w:footer="1134" w:gutter="0"/>
          <w:paperSrc w:first="15"/>
          <w:cols w:num="2" w:space="720"/>
          <w:titlePg/>
        </w:sectPr>
      </w:pPr>
    </w:p>
    <w:p w:rsidR="002745B2" w:rsidRDefault="00247CFD" w:rsidP="007D136B">
      <w:pPr>
        <w:pStyle w:val="Sangradetextonormal"/>
        <w:ind w:firstLine="0"/>
        <w:jc w:val="center"/>
      </w:pPr>
      <w:r>
        <w:object w:dxaOrig="8998" w:dyaOrig="3969">
          <v:shape id="_x0000_i1051" type="#_x0000_t75" style="width:377.25pt;height:166.5pt" o:ole="">
            <v:imagedata r:id="rId107" o:title=""/>
          </v:shape>
          <o:OLEObject Type="Embed" ProgID="Excel.Sheet.12" ShapeID="_x0000_i1051" DrawAspect="Content" ObjectID="_1388566688" r:id="rId108"/>
        </w:object>
      </w:r>
    </w:p>
    <w:p w:rsidR="001C335B" w:rsidRDefault="001C335B" w:rsidP="007D136B">
      <w:pPr>
        <w:pStyle w:val="Sangradetextonormal"/>
        <w:ind w:firstLine="0"/>
        <w:jc w:val="center"/>
      </w:pPr>
    </w:p>
    <w:p w:rsidR="00EE48F7" w:rsidRDefault="00F153EA">
      <w:pPr>
        <w:pStyle w:val="Sangradetextonormal"/>
        <w:ind w:firstLine="0"/>
        <w:rPr>
          <w:snapToGrid w:val="0"/>
        </w:rPr>
        <w:sectPr w:rsidR="00EE48F7">
          <w:type w:val="continuous"/>
          <w:pgSz w:w="11907" w:h="16840" w:code="9"/>
          <w:pgMar w:top="1701" w:right="1418" w:bottom="1418" w:left="1701" w:header="1134" w:footer="1134" w:gutter="0"/>
          <w:paperSrc w:first="15"/>
          <w:cols w:space="720"/>
          <w:titlePg/>
        </w:sectPr>
      </w:pPr>
      <w:r w:rsidRPr="00F153EA">
        <w:rPr>
          <w:noProof/>
          <w:sz w:val="22"/>
          <w:lang w:val="es-ES" w:eastAsia="en-US"/>
        </w:rPr>
        <w:pict>
          <v:shape id="_x0000_s1591" type="#_x0000_t202" style="position:absolute;left:0;text-align:left;margin-left:414.45pt;margin-top:14.35pt;width:27.9pt;height:24pt;z-index:251663872;mso-width-relative:margin;mso-height-relative:margin" stroked="f">
            <v:textbox style="mso-next-textbox:#_x0000_s1591">
              <w:txbxContent>
                <w:p w:rsidR="00DB21F1" w:rsidRPr="00D819DD" w:rsidRDefault="00DB21F1">
                  <w:pPr>
                    <w:rPr>
                      <w:sz w:val="20"/>
                      <w:szCs w:val="20"/>
                    </w:rPr>
                  </w:pPr>
                  <w:r w:rsidRPr="00D819DD">
                    <w:rPr>
                      <w:sz w:val="20"/>
                      <w:szCs w:val="20"/>
                    </w:rPr>
                    <w:t>2</w:t>
                  </w:r>
                  <w:r>
                    <w:rPr>
                      <w:sz w:val="20"/>
                      <w:szCs w:val="20"/>
                    </w:rPr>
                    <w:t>1</w:t>
                  </w:r>
                </w:p>
              </w:txbxContent>
            </v:textbox>
          </v:shape>
        </w:pict>
      </w:r>
      <w:r w:rsidRPr="00F153EA">
        <w:rPr>
          <w:noProof/>
          <w:snapToGrid w:val="0"/>
          <w:lang w:val="es-ES" w:eastAsia="en-US"/>
        </w:rPr>
        <w:pict>
          <v:shape id="_x0000_s1592" type="#_x0000_t202" style="position:absolute;left:0;text-align:left;margin-left:422.1pt;margin-top:14.35pt;width:27.25pt;height:18.7pt;z-index:251664896;mso-height-percent:200;mso-height-percent:200;mso-width-relative:margin;mso-height-relative:margin" stroked="f">
            <v:textbox style="mso-next-textbox:#_x0000_s1592;mso-fit-shape-to-text:t">
              <w:txbxContent>
                <w:p w:rsidR="00DB21F1" w:rsidRPr="00D819DD" w:rsidRDefault="00DB21F1">
                  <w:pPr>
                    <w:rPr>
                      <w:sz w:val="20"/>
                      <w:szCs w:val="20"/>
                    </w:rPr>
                  </w:pPr>
                  <w:r w:rsidRPr="00D819DD">
                    <w:rPr>
                      <w:sz w:val="20"/>
                      <w:szCs w:val="20"/>
                    </w:rPr>
                    <w:t>21</w:t>
                  </w:r>
                </w:p>
              </w:txbxContent>
            </v:textbox>
          </v:shape>
        </w:pict>
      </w:r>
    </w:p>
    <w:bookmarkEnd w:id="8"/>
    <w:bookmarkEnd w:id="9"/>
    <w:p w:rsidR="00852557" w:rsidRPr="003B7B43" w:rsidRDefault="00852557">
      <w:pPr>
        <w:pStyle w:val="Ttulo4"/>
        <w:keepNext w:val="0"/>
        <w:numPr>
          <w:ilvl w:val="0"/>
          <w:numId w:val="2"/>
        </w:numPr>
        <w:tabs>
          <w:tab w:val="clear" w:pos="-1099"/>
        </w:tabs>
        <w:jc w:val="left"/>
        <w:rPr>
          <w:sz w:val="26"/>
        </w:rPr>
      </w:pPr>
      <w:r w:rsidRPr="003B7B43">
        <w:rPr>
          <w:sz w:val="26"/>
        </w:rPr>
        <w:lastRenderedPageBreak/>
        <w:t>FINANZAS PÚBLICAS</w:t>
      </w:r>
    </w:p>
    <w:p w:rsidR="00852557" w:rsidRPr="003B7B43" w:rsidRDefault="00852557"/>
    <w:p w:rsidR="00852557" w:rsidRPr="003B7B43" w:rsidRDefault="00852557">
      <w:pPr>
        <w:numPr>
          <w:ilvl w:val="1"/>
          <w:numId w:val="3"/>
        </w:numPr>
        <w:rPr>
          <w:b/>
        </w:rPr>
      </w:pPr>
      <w:r w:rsidRPr="003B7B43">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109"/>
          <w:footerReference w:type="default" r:id="rId110"/>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C20FD7" w:rsidRDefault="00594DAB" w:rsidP="00C20FD7">
      <w:pPr>
        <w:pStyle w:val="Textoindependiente2"/>
        <w:tabs>
          <w:tab w:val="left" w:pos="2552"/>
        </w:tabs>
        <w:rPr>
          <w:sz w:val="22"/>
        </w:rPr>
      </w:pPr>
      <w:r>
        <w:rPr>
          <w:sz w:val="22"/>
        </w:rPr>
        <w:lastRenderedPageBreak/>
        <w:t xml:space="preserve">En noviembre, los ingresos recaudados por el Gobierno Central bordearon los S/.118,6 millones, lo que implicó un incremento real del 9,9 por ciento con relación a igual mes del año anterior. Este desempeño es atribuible principalmente a la expansión del  </w:t>
      </w:r>
      <w:r>
        <w:rPr>
          <w:sz w:val="22"/>
        </w:rPr>
        <w:lastRenderedPageBreak/>
        <w:t>impuesto general a las ventas externas (63,2 por ciento), y, en segunda instancia, al repunte de los impuestos a los ingresos (9,6 por ciento). En lo que va del año, la recaudación fiscal aumentó en 8,8 por ciento.</w:t>
      </w:r>
    </w:p>
    <w:p w:rsidR="00852557" w:rsidRDefault="00852557">
      <w:pPr>
        <w:pStyle w:val="Textoindependiente2"/>
        <w:tabs>
          <w:tab w:val="left" w:pos="2552"/>
        </w:tabs>
        <w:jc w:val="center"/>
        <w:rPr>
          <w:color w:val="FF0000"/>
          <w:sz w:val="22"/>
        </w:rPr>
        <w:sectPr w:rsidR="00852557" w:rsidSect="00217541">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3748DF" w:rsidP="008D30F3">
      <w:pPr>
        <w:pStyle w:val="Textoindependiente2"/>
        <w:ind w:left="-340"/>
        <w:jc w:val="right"/>
        <w:rPr>
          <w:color w:val="FF0000"/>
          <w:sz w:val="22"/>
        </w:rPr>
        <w:sectPr w:rsidR="00852557">
          <w:type w:val="continuous"/>
          <w:pgSz w:w="11907" w:h="16840" w:code="9"/>
          <w:pgMar w:top="1418" w:right="1701" w:bottom="1418" w:left="1701" w:header="720" w:footer="720" w:gutter="0"/>
          <w:cols w:space="720"/>
        </w:sectPr>
      </w:pPr>
      <w:r w:rsidRPr="0010493D">
        <w:rPr>
          <w:color w:val="FF0000"/>
          <w:sz w:val="22"/>
        </w:rPr>
        <w:object w:dxaOrig="10485" w:dyaOrig="6237">
          <v:shape id="_x0000_i1052" type="#_x0000_t75" style="width:438.75pt;height:334.5pt" o:ole="">
            <v:imagedata r:id="rId111" o:title=""/>
          </v:shape>
          <o:OLEObject Type="Embed" ProgID="Excel.Sheet.12" ShapeID="_x0000_i1052" DrawAspect="Content" ObjectID="_1388566689" r:id="rId112"/>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3B7B43">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594DAB" w:rsidRDefault="00594DAB" w:rsidP="00594DAB">
      <w:pPr>
        <w:pStyle w:val="Textoindependiente2"/>
        <w:rPr>
          <w:sz w:val="22"/>
          <w:szCs w:val="22"/>
        </w:rPr>
      </w:pPr>
      <w:r w:rsidRPr="00600001">
        <w:rPr>
          <w:sz w:val="22"/>
          <w:szCs w:val="22"/>
        </w:rPr>
        <w:lastRenderedPageBreak/>
        <w:t xml:space="preserve">En </w:t>
      </w:r>
      <w:r>
        <w:rPr>
          <w:sz w:val="22"/>
          <w:szCs w:val="22"/>
        </w:rPr>
        <w:t xml:space="preserve">noviembre, los gastos del Gobierno Regional ascendieron a S/. 92,1 millones, mostrando un incremento real del 16,3 por ciento respecto de igual mes del año anterior. Este comportamiento obedeció principalmente a una expansión de los gastos corrientes (20,4 por ciento). Por su parte, los gastos de capital se expandieron en 3,8 por ciento y estuvieron dirigidos a estudios de pre-inversión (S/.2,4 millones), </w:t>
      </w:r>
      <w:r w:rsidRPr="003D510B">
        <w:rPr>
          <w:sz w:val="22"/>
          <w:szCs w:val="22"/>
        </w:rPr>
        <w:t xml:space="preserve"> </w:t>
      </w:r>
      <w:r>
        <w:rPr>
          <w:sz w:val="22"/>
          <w:szCs w:val="22"/>
        </w:rPr>
        <w:lastRenderedPageBreak/>
        <w:t>protección del cuenco amortiguador de la Presa Poechos (S/.3,9 millones) y al proyecto hidroenergético del Alto Piura (S/.6,9 millones).</w:t>
      </w:r>
    </w:p>
    <w:p w:rsidR="00594DAB" w:rsidRDefault="00594DAB" w:rsidP="00594DAB">
      <w:pPr>
        <w:pStyle w:val="Textoindependiente2"/>
        <w:rPr>
          <w:sz w:val="22"/>
          <w:szCs w:val="22"/>
        </w:rPr>
      </w:pPr>
    </w:p>
    <w:p w:rsidR="00594DAB" w:rsidRDefault="00594DAB" w:rsidP="00594DAB">
      <w:pPr>
        <w:pStyle w:val="Textoindependiente2"/>
        <w:rPr>
          <w:sz w:val="22"/>
          <w:szCs w:val="22"/>
        </w:rPr>
        <w:sectPr w:rsidR="00594DAB" w:rsidSect="00594DAB">
          <w:type w:val="continuous"/>
          <w:pgSz w:w="11907" w:h="16840" w:code="9"/>
          <w:pgMar w:top="1418" w:right="1701" w:bottom="1418" w:left="1701" w:header="720" w:footer="720" w:gutter="0"/>
          <w:cols w:num="2" w:space="720"/>
        </w:sectPr>
      </w:pPr>
      <w:r>
        <w:rPr>
          <w:sz w:val="22"/>
          <w:szCs w:val="22"/>
        </w:rPr>
        <w:t>No obstante, en los once primeros meses del año, el gasto de la autoridad regional se contrajo en 18,2 por ciento a raíz de la caída en los gastos de capital (-57,7 por ciento).</w:t>
      </w:r>
    </w:p>
    <w:p w:rsidR="00594DAB" w:rsidRDefault="00594DAB" w:rsidP="00594DAB">
      <w:pPr>
        <w:pStyle w:val="Textoindependiente2"/>
        <w:rPr>
          <w:sz w:val="22"/>
          <w:szCs w:val="22"/>
        </w:rPr>
      </w:pPr>
    </w:p>
    <w:p w:rsidR="00C20FD7" w:rsidRDefault="00C20FD7" w:rsidP="00C20FD7">
      <w:pPr>
        <w:pStyle w:val="Textoindependiente2"/>
        <w:rPr>
          <w:sz w:val="22"/>
          <w:szCs w:val="22"/>
        </w:rPr>
      </w:pPr>
      <w:r>
        <w:rPr>
          <w:sz w:val="22"/>
          <w:szCs w:val="22"/>
        </w:rPr>
        <w:lastRenderedPageBreak/>
        <w:t xml:space="preserve"> </w:t>
      </w:r>
    </w:p>
    <w:p w:rsidR="00C20FD7" w:rsidRDefault="00C20FD7" w:rsidP="00C20FD7">
      <w:pPr>
        <w:pStyle w:val="Textoindependiente2"/>
        <w:rPr>
          <w:sz w:val="22"/>
          <w:szCs w:val="22"/>
        </w:rPr>
        <w:sectPr w:rsidR="00C20FD7" w:rsidSect="009A5A8D">
          <w:type w:val="continuous"/>
          <w:pgSz w:w="11907" w:h="16840" w:code="9"/>
          <w:pgMar w:top="1418" w:right="1701" w:bottom="1418" w:left="1701" w:header="720" w:footer="720" w:gutter="0"/>
          <w:cols w:num="2" w:space="720"/>
        </w:sectPr>
      </w:pPr>
    </w:p>
    <w:p w:rsidR="00852557" w:rsidRDefault="009A5A8D">
      <w:pPr>
        <w:pStyle w:val="Textoindependiente2"/>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Pr>
          <w:color w:val="FF0000"/>
          <w:sz w:val="22"/>
          <w:szCs w:val="22"/>
        </w:rPr>
        <w:lastRenderedPageBreak/>
        <w:br w:type="page"/>
      </w:r>
      <w:r w:rsidR="003748DF" w:rsidRPr="0010493D">
        <w:rPr>
          <w:color w:val="FF0000"/>
          <w:sz w:val="22"/>
          <w:szCs w:val="22"/>
        </w:rPr>
        <w:object w:dxaOrig="8908" w:dyaOrig="5452">
          <v:shape id="_x0000_i1053" type="#_x0000_t75" style="width:445.5pt;height:291.75pt" o:ole="">
            <v:imagedata r:id="rId113" o:title=""/>
          </v:shape>
          <o:OLEObject Type="Embed" ProgID="Excel.Sheet.12" ShapeID="_x0000_i1053" DrawAspect="Content" ObjectID="_1388566690" r:id="rId114"/>
        </w:object>
      </w:r>
    </w:p>
    <w:p w:rsidR="00852557" w:rsidRDefault="00852557">
      <w:pPr>
        <w:pStyle w:val="Textoindependiente2"/>
        <w:rPr>
          <w:color w:val="FF0000"/>
          <w:sz w:val="22"/>
          <w:szCs w:val="22"/>
        </w:rPr>
      </w:pPr>
    </w:p>
    <w:p w:rsidR="00852557" w:rsidRDefault="00852557">
      <w:pPr>
        <w:pStyle w:val="Textoindependiente2"/>
        <w:rPr>
          <w:color w:val="FF0000"/>
          <w:sz w:val="22"/>
          <w:szCs w:val="22"/>
        </w:rPr>
      </w:pPr>
    </w:p>
    <w:p w:rsidR="00BA090C" w:rsidRDefault="00BA090C">
      <w:pPr>
        <w:pStyle w:val="Textoindependiente2"/>
        <w:rPr>
          <w:color w:val="FF0000"/>
          <w:sz w:val="22"/>
          <w:szCs w:val="22"/>
        </w:rPr>
      </w:pPr>
    </w:p>
    <w:p w:rsidR="00BA090C" w:rsidRDefault="00BA090C">
      <w:pPr>
        <w:pStyle w:val="Textoindependiente2"/>
        <w:rPr>
          <w:color w:val="FF0000"/>
          <w:sz w:val="22"/>
          <w:szCs w:val="22"/>
        </w:rPr>
        <w:sectPr w:rsidR="00BA090C">
          <w:type w:val="continuous"/>
          <w:pgSz w:w="11907" w:h="16840" w:code="9"/>
          <w:pgMar w:top="1418" w:right="1701" w:bottom="1418" w:left="1701" w:header="720" w:footer="720" w:gutter="0"/>
          <w:cols w:num="2" w:space="709"/>
        </w:sectPr>
      </w:pPr>
    </w:p>
    <w:p w:rsidR="00E00257" w:rsidRDefault="00594DAB" w:rsidP="00C20FD7">
      <w:pPr>
        <w:pStyle w:val="Textoindependiente2"/>
        <w:rPr>
          <w:sz w:val="22"/>
        </w:rPr>
      </w:pPr>
      <w:r>
        <w:rPr>
          <w:sz w:val="22"/>
        </w:rPr>
        <w:lastRenderedPageBreak/>
        <w:t xml:space="preserve">El financiamiento del gasto mensual se realizó principalmente con “Recursos Ordinarios”, los cuales representaron el 88,2 por ciento del total y registraron un  incremento sustancial del 32,0 por ciento </w:t>
      </w:r>
      <w:r>
        <w:rPr>
          <w:sz w:val="22"/>
        </w:rPr>
        <w:lastRenderedPageBreak/>
        <w:t>respecto de similar mes del año pasado. En contraste, los “Recursos Determinados” (incluyen canon petrolero) mostraron una contracción del 56,6 por ciento.</w:t>
      </w:r>
      <w:r w:rsidR="00C20FD7">
        <w:rPr>
          <w:sz w:val="22"/>
        </w:rPr>
        <w:t xml:space="preserve">  </w:t>
      </w:r>
    </w:p>
    <w:p w:rsidR="007D45E0" w:rsidRDefault="007D45E0" w:rsidP="00C20FD7">
      <w:pPr>
        <w:pStyle w:val="Textoindependiente2"/>
        <w:rPr>
          <w:sz w:val="22"/>
        </w:rPr>
        <w:sectPr w:rsidR="007D45E0" w:rsidSect="00E00257">
          <w:type w:val="continuous"/>
          <w:pgSz w:w="11907" w:h="16840" w:code="9"/>
          <w:pgMar w:top="1418" w:right="1701" w:bottom="1418" w:left="1701" w:header="720" w:footer="720" w:gutter="0"/>
          <w:cols w:num="2" w:space="720"/>
        </w:sectPr>
      </w:pPr>
    </w:p>
    <w:p w:rsidR="00852557" w:rsidRDefault="00852557">
      <w:pPr>
        <w:pStyle w:val="Textoindependiente2"/>
        <w:rPr>
          <w:sz w:val="22"/>
        </w:rPr>
      </w:pPr>
    </w:p>
    <w:p w:rsidR="00BC5C7F" w:rsidRDefault="00BC5C7F">
      <w:pPr>
        <w:pStyle w:val="Textoindependiente2"/>
        <w:rPr>
          <w:sz w:val="22"/>
        </w:rPr>
      </w:pPr>
    </w:p>
    <w:p w:rsidR="00852557" w:rsidRDefault="003748DF" w:rsidP="00594DAB">
      <w:pPr>
        <w:pStyle w:val="Textoindependiente2"/>
        <w:jc w:val="center"/>
        <w:rPr>
          <w:color w:val="FFFFFF"/>
          <w:sz w:val="22"/>
        </w:rPr>
        <w:sectPr w:rsidR="00852557">
          <w:type w:val="continuous"/>
          <w:pgSz w:w="11907" w:h="16840" w:code="9"/>
          <w:pgMar w:top="1418" w:right="1701" w:bottom="1418" w:left="1701" w:header="720" w:footer="720" w:gutter="0"/>
          <w:cols w:space="720"/>
        </w:sectPr>
      </w:pPr>
      <w:r w:rsidRPr="0010493D">
        <w:rPr>
          <w:sz w:val="22"/>
        </w:rPr>
        <w:object w:dxaOrig="8922" w:dyaOrig="3666">
          <v:shape id="_x0000_i1054" type="#_x0000_t75" style="width:438.75pt;height:195.75pt" o:ole="">
            <v:imagedata r:id="rId115" o:title=""/>
          </v:shape>
          <o:OLEObject Type="Embed" ProgID="Excel.Sheet.12" ShapeID="_x0000_i1054" DrawAspect="Content" ObjectID="_1388566691" r:id="rId116"/>
        </w:object>
      </w:r>
    </w:p>
    <w:p w:rsidR="00852557" w:rsidRDefault="00852557">
      <w:pPr>
        <w:pStyle w:val="Textoindependiente2"/>
        <w:rPr>
          <w:color w:val="FF0000"/>
          <w:sz w:val="22"/>
        </w:rPr>
      </w:pPr>
    </w:p>
    <w:p w:rsidR="00BA090C" w:rsidRDefault="00BA090C">
      <w:pPr>
        <w:pStyle w:val="Textoindependiente2"/>
        <w:rPr>
          <w:color w:val="FF0000"/>
          <w:sz w:val="22"/>
        </w:rPr>
      </w:pPr>
    </w:p>
    <w:p w:rsidR="00BA090C" w:rsidRDefault="00BA090C">
      <w:pPr>
        <w:pStyle w:val="Textoindependiente2"/>
        <w:rPr>
          <w:color w:val="FF0000"/>
          <w:sz w:val="22"/>
        </w:rPr>
      </w:pPr>
    </w:p>
    <w:p w:rsidR="007D45E0" w:rsidRDefault="007D45E0">
      <w:pPr>
        <w:pStyle w:val="Textoindependiente2"/>
        <w:rPr>
          <w:color w:val="FF0000"/>
          <w:sz w:val="22"/>
        </w:rPr>
        <w:sectPr w:rsidR="007D45E0" w:rsidSect="00AE1D4E">
          <w:type w:val="continuous"/>
          <w:pgSz w:w="11907" w:h="16840" w:code="9"/>
          <w:pgMar w:top="1418" w:right="1701" w:bottom="1418" w:left="1701" w:header="720" w:footer="720" w:gutter="0"/>
          <w:cols w:num="2" w:space="720"/>
        </w:sectPr>
      </w:pPr>
    </w:p>
    <w:p w:rsidR="00594DAB" w:rsidRDefault="00594DAB" w:rsidP="00594DAB">
      <w:pPr>
        <w:rPr>
          <w:sz w:val="22"/>
          <w:szCs w:val="22"/>
          <w:lang w:val="es-MX"/>
        </w:rPr>
      </w:pPr>
      <w:r>
        <w:rPr>
          <w:sz w:val="22"/>
          <w:szCs w:val="22"/>
          <w:lang w:val="es-MX"/>
        </w:rPr>
        <w:lastRenderedPageBreak/>
        <w:t>El Presupuesto Institucional Modificado (PIM) bordeó los S/. 1 096  millones y registró una ejecución presupuestal del 70,9</w:t>
      </w:r>
      <w:r w:rsidRPr="004B3026">
        <w:rPr>
          <w:sz w:val="22"/>
          <w:szCs w:val="22"/>
          <w:lang w:val="es-MX"/>
        </w:rPr>
        <w:t xml:space="preserve"> </w:t>
      </w:r>
      <w:r w:rsidRPr="004B3026">
        <w:rPr>
          <w:sz w:val="22"/>
          <w:szCs w:val="22"/>
          <w:lang w:val="es-MX"/>
        </w:rPr>
        <w:lastRenderedPageBreak/>
        <w:t>por ciento</w:t>
      </w:r>
      <w:r>
        <w:rPr>
          <w:sz w:val="22"/>
          <w:szCs w:val="22"/>
          <w:lang w:val="es-MX"/>
        </w:rPr>
        <w:t xml:space="preserve">, con un </w:t>
      </w:r>
      <w:r w:rsidRPr="004B3026">
        <w:rPr>
          <w:sz w:val="22"/>
          <w:szCs w:val="22"/>
          <w:lang w:val="es-MX"/>
        </w:rPr>
        <w:t xml:space="preserve">avance de </w:t>
      </w:r>
      <w:r>
        <w:rPr>
          <w:sz w:val="22"/>
          <w:szCs w:val="22"/>
          <w:lang w:val="es-MX"/>
        </w:rPr>
        <w:t xml:space="preserve">82,7 </w:t>
      </w:r>
      <w:r w:rsidRPr="004B3026">
        <w:rPr>
          <w:sz w:val="22"/>
          <w:szCs w:val="22"/>
          <w:lang w:val="es-MX"/>
        </w:rPr>
        <w:t xml:space="preserve">por ciento en gastos corrientes y de </w:t>
      </w:r>
      <w:r>
        <w:rPr>
          <w:sz w:val="22"/>
          <w:szCs w:val="22"/>
          <w:lang w:val="es-MX"/>
        </w:rPr>
        <w:t>41,2</w:t>
      </w:r>
      <w:r w:rsidRPr="004B3026">
        <w:rPr>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p>
    <w:p w:rsidR="00594DAB" w:rsidRDefault="00594DAB" w:rsidP="00594DAB">
      <w:pPr>
        <w:rPr>
          <w:sz w:val="22"/>
          <w:szCs w:val="22"/>
          <w:lang w:val="es-MX"/>
        </w:rPr>
        <w:sectPr w:rsidR="00594DAB" w:rsidSect="00594DAB">
          <w:headerReference w:type="even" r:id="rId117"/>
          <w:headerReference w:type="default" r:id="rId118"/>
          <w:footerReference w:type="default" r:id="rId119"/>
          <w:type w:val="continuous"/>
          <w:pgSz w:w="11907" w:h="16840" w:code="9"/>
          <w:pgMar w:top="993" w:right="1701" w:bottom="709" w:left="1701" w:header="720" w:footer="720" w:gutter="0"/>
          <w:cols w:num="2" w:space="709"/>
        </w:sectPr>
      </w:pPr>
    </w:p>
    <w:p w:rsidR="00594DAB" w:rsidRDefault="00594DAB" w:rsidP="00594DAB">
      <w:pPr>
        <w:rPr>
          <w:sz w:val="22"/>
          <w:szCs w:val="22"/>
          <w:lang w:val="es-MX"/>
        </w:rPr>
      </w:pPr>
    </w:p>
    <w:p w:rsidR="00C20FD7" w:rsidRDefault="00C20FD7" w:rsidP="00C20FD7">
      <w:pPr>
        <w:rPr>
          <w:sz w:val="22"/>
          <w:szCs w:val="22"/>
          <w:lang w:val="es-MX"/>
        </w:rPr>
      </w:pPr>
    </w:p>
    <w:p w:rsidR="00AE1D4E" w:rsidRDefault="00AE1D4E">
      <w:pPr>
        <w:rPr>
          <w:sz w:val="22"/>
          <w:szCs w:val="22"/>
          <w:lang w:val="es-MX"/>
        </w:rPr>
        <w:sectPr w:rsidR="00AE1D4E" w:rsidSect="00594DAB">
          <w:type w:val="continuous"/>
          <w:pgSz w:w="11907" w:h="16840" w:code="9"/>
          <w:pgMar w:top="993" w:right="1701" w:bottom="709" w:left="1701" w:header="720" w:footer="720" w:gutter="0"/>
          <w:cols w:space="709"/>
        </w:sectPr>
      </w:pPr>
    </w:p>
    <w:p w:rsidR="000319BC" w:rsidRDefault="000319BC">
      <w:pPr>
        <w:rPr>
          <w:sz w:val="22"/>
          <w:szCs w:val="22"/>
          <w:lang w:val="es-MX"/>
        </w:rPr>
      </w:pPr>
    </w:p>
    <w:p w:rsidR="00852557" w:rsidRDefault="00852557">
      <w:pPr>
        <w:rPr>
          <w:b/>
          <w:bCs/>
          <w:sz w:val="22"/>
        </w:rPr>
      </w:pPr>
      <w:r w:rsidRPr="003B7B43">
        <w:rPr>
          <w:b/>
          <w:bCs/>
        </w:rPr>
        <w:t>4</w:t>
      </w:r>
      <w:r w:rsidRPr="003B7B43">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594DAB" w:rsidRDefault="00594DAB" w:rsidP="00594DAB">
      <w:pPr>
        <w:rPr>
          <w:bCs/>
          <w:sz w:val="22"/>
          <w:szCs w:val="22"/>
        </w:rPr>
      </w:pPr>
      <w:r>
        <w:rPr>
          <w:bCs/>
          <w:sz w:val="22"/>
          <w:szCs w:val="22"/>
        </w:rPr>
        <w:lastRenderedPageBreak/>
        <w:t xml:space="preserve">En el mes bajo análisis, el gasto del gobierno local de Piura fue de S/. 21,4 millones, mostrando una caída real del 9,8 por ciento respecto de noviembre del 2010. Este desempeño radicó en los menores gastos corrientes (-10,1 por ciento) y de capital (-9,6 por ciento) ejecutados en el mes. Estos últimos se orientaron básicamente a transporte urbano (S/.4,0 </w:t>
      </w:r>
      <w:r>
        <w:rPr>
          <w:bCs/>
          <w:sz w:val="22"/>
          <w:szCs w:val="22"/>
        </w:rPr>
        <w:lastRenderedPageBreak/>
        <w:t xml:space="preserve">millones), obras de saneamiento urbano y rural (S/.2,9 millones) e infraestructura  educativa (S/.1,1 millones). </w:t>
      </w:r>
    </w:p>
    <w:p w:rsidR="00594DAB" w:rsidRDefault="00594DAB" w:rsidP="00594DAB">
      <w:pPr>
        <w:rPr>
          <w:bCs/>
          <w:sz w:val="22"/>
          <w:szCs w:val="22"/>
        </w:rPr>
      </w:pPr>
    </w:p>
    <w:p w:rsidR="00594DAB" w:rsidRDefault="00594DAB" w:rsidP="00594DAB">
      <w:pPr>
        <w:rPr>
          <w:bCs/>
          <w:sz w:val="22"/>
          <w:szCs w:val="22"/>
        </w:rPr>
        <w:sectPr w:rsidR="00594DAB" w:rsidSect="00594DAB">
          <w:type w:val="continuous"/>
          <w:pgSz w:w="11907" w:h="16840" w:code="9"/>
          <w:pgMar w:top="1418" w:right="1701" w:bottom="1418" w:left="1701" w:header="720" w:footer="720" w:gutter="0"/>
          <w:cols w:num="2" w:space="709"/>
        </w:sectPr>
      </w:pPr>
      <w:r>
        <w:rPr>
          <w:bCs/>
          <w:sz w:val="22"/>
          <w:szCs w:val="22"/>
        </w:rPr>
        <w:t>En el período enero-noviembre, el gasto de la autoridad local se contrajo en 16,3 por ciento, merced a la disminución de los gastos de capital (-32,7 por ciento).</w:t>
      </w:r>
    </w:p>
    <w:p w:rsidR="00C20FD7" w:rsidRDefault="00C20FD7" w:rsidP="00594DAB">
      <w:pPr>
        <w:rPr>
          <w:bCs/>
          <w:sz w:val="22"/>
          <w:szCs w:val="22"/>
        </w:rPr>
      </w:pPr>
    </w:p>
    <w:p w:rsidR="00CC3A51" w:rsidRDefault="00CC3A51" w:rsidP="00CC3A51">
      <w:pPr>
        <w:rPr>
          <w:bCs/>
          <w:sz w:val="22"/>
          <w:szCs w:val="22"/>
        </w:rPr>
      </w:pPr>
      <w:r>
        <w:rPr>
          <w:bCs/>
          <w:sz w:val="22"/>
          <w:szCs w:val="22"/>
        </w:rPr>
        <w:lastRenderedPageBreak/>
        <w:t xml:space="preserve"> </w:t>
      </w:r>
    </w:p>
    <w:p w:rsidR="00CC3A51" w:rsidRDefault="00CC3A51" w:rsidP="00CC3A51">
      <w:pPr>
        <w:rPr>
          <w:bCs/>
          <w:sz w:val="22"/>
          <w:szCs w:val="22"/>
        </w:rPr>
        <w:sectPr w:rsidR="00CC3A51" w:rsidSect="00E40F0D">
          <w:type w:val="continuous"/>
          <w:pgSz w:w="11907" w:h="16840" w:code="9"/>
          <w:pgMar w:top="1418" w:right="1701" w:bottom="1418" w:left="1701" w:header="720" w:footer="720" w:gutter="0"/>
          <w:cols w:num="2" w:space="709"/>
        </w:sectPr>
      </w:pPr>
    </w:p>
    <w:p w:rsidR="00F841C6" w:rsidRDefault="003748DF" w:rsidP="00401F3D">
      <w:pPr>
        <w:jc w:val="center"/>
        <w:rPr>
          <w:color w:val="FF0000"/>
          <w:sz w:val="22"/>
          <w:szCs w:val="22"/>
          <w:lang w:val="es-MX"/>
        </w:rPr>
        <w:sectPr w:rsidR="00F841C6">
          <w:type w:val="continuous"/>
          <w:pgSz w:w="11907" w:h="16840" w:code="9"/>
          <w:pgMar w:top="1418" w:right="1701" w:bottom="1418" w:left="1701" w:header="720" w:footer="720" w:gutter="0"/>
          <w:cols w:space="709"/>
        </w:sectPr>
      </w:pPr>
      <w:r w:rsidRPr="0010493D">
        <w:rPr>
          <w:bCs/>
          <w:sz w:val="22"/>
          <w:szCs w:val="22"/>
        </w:rPr>
        <w:object w:dxaOrig="8701" w:dyaOrig="4672">
          <v:shape id="_x0000_i1055" type="#_x0000_t75" style="width:435pt;height:231.75pt" o:ole="">
            <v:imagedata r:id="rId120" o:title=""/>
          </v:shape>
          <o:OLEObject Type="Embed" ProgID="Excel.Sheet.12" ShapeID="_x0000_i1055" DrawAspect="Content" ObjectID="_1388566692" r:id="rId121"/>
        </w:object>
      </w:r>
    </w:p>
    <w:p w:rsidR="00852557" w:rsidRDefault="00852557">
      <w:pPr>
        <w:rPr>
          <w:sz w:val="22"/>
          <w:szCs w:val="22"/>
          <w:lang w:val="es-MX"/>
        </w:rPr>
      </w:pPr>
    </w:p>
    <w:p w:rsidR="00BC5C7F" w:rsidRDefault="00BC5C7F">
      <w:pPr>
        <w:rPr>
          <w:sz w:val="22"/>
          <w:szCs w:val="22"/>
          <w:lang w:val="es-MX"/>
        </w:rPr>
        <w:sectPr w:rsidR="00BC5C7F">
          <w:type w:val="continuous"/>
          <w:pgSz w:w="11907" w:h="16840" w:code="9"/>
          <w:pgMar w:top="1418" w:right="1701" w:bottom="1418" w:left="1701" w:header="720" w:footer="720" w:gutter="0"/>
          <w:cols w:space="720"/>
        </w:sectPr>
      </w:pPr>
    </w:p>
    <w:p w:rsidR="008D30F3" w:rsidRDefault="00594DAB" w:rsidP="008D30F3">
      <w:pPr>
        <w:rPr>
          <w:sz w:val="22"/>
          <w:szCs w:val="22"/>
          <w:lang w:val="es-MX"/>
        </w:rPr>
      </w:pPr>
      <w:r>
        <w:rPr>
          <w:sz w:val="22"/>
          <w:szCs w:val="22"/>
          <w:lang w:val="es-MX"/>
        </w:rPr>
        <w:lastRenderedPageBreak/>
        <w:t xml:space="preserve">En noviembre, el financiamiento del gasto municipal se hizo principalmente con “Recursos Determinados”, los cuales dieron cuenta del 54,8 por ciento del total, pero </w:t>
      </w:r>
      <w:r>
        <w:rPr>
          <w:sz w:val="22"/>
          <w:szCs w:val="22"/>
          <w:lang w:val="es-MX"/>
        </w:rPr>
        <w:lastRenderedPageBreak/>
        <w:t>observaron una caída real del 32</w:t>
      </w:r>
      <w:r w:rsidR="00C70F66">
        <w:rPr>
          <w:sz w:val="22"/>
          <w:szCs w:val="22"/>
          <w:lang w:val="es-MX"/>
        </w:rPr>
        <w:t>,0</w:t>
      </w:r>
      <w:r>
        <w:rPr>
          <w:sz w:val="22"/>
          <w:szCs w:val="22"/>
          <w:lang w:val="es-MX"/>
        </w:rPr>
        <w:t xml:space="preserve"> por ciento respecto de análogo período del año anterior.</w:t>
      </w:r>
    </w:p>
    <w:p w:rsidR="00580B57" w:rsidRDefault="00580B57" w:rsidP="008D30F3">
      <w:pPr>
        <w:rPr>
          <w:sz w:val="22"/>
          <w:szCs w:val="22"/>
          <w:lang w:val="es-MX"/>
        </w:rPr>
        <w:sectPr w:rsidR="00580B57" w:rsidSect="00A105B2">
          <w:type w:val="continuous"/>
          <w:pgSz w:w="11907" w:h="16840" w:code="9"/>
          <w:pgMar w:top="1418" w:right="1701" w:bottom="1418" w:left="1701" w:header="720" w:footer="720" w:gutter="0"/>
          <w:cols w:num="2" w:space="709"/>
        </w:sectPr>
      </w:pPr>
    </w:p>
    <w:p w:rsidR="00F841C6" w:rsidRDefault="00F841C6">
      <w:pPr>
        <w:rPr>
          <w:sz w:val="22"/>
          <w:szCs w:val="22"/>
          <w:lang w:val="es-MX"/>
        </w:rPr>
        <w:sectPr w:rsidR="00F841C6" w:rsidSect="00F841C6">
          <w:type w:val="continuous"/>
          <w:pgSz w:w="11907" w:h="16840" w:code="9"/>
          <w:pgMar w:top="1418" w:right="1701" w:bottom="1418" w:left="1701" w:header="720" w:footer="720" w:gutter="0"/>
          <w:cols w:num="2" w:space="709"/>
        </w:sectPr>
      </w:pPr>
    </w:p>
    <w:p w:rsidR="00852557" w:rsidRDefault="003748DF">
      <w:pPr>
        <w:jc w:val="center"/>
        <w:rPr>
          <w:bCs/>
          <w:color w:val="FF0000"/>
          <w:sz w:val="22"/>
          <w:szCs w:val="22"/>
        </w:rPr>
        <w:sectPr w:rsidR="00852557">
          <w:type w:val="continuous"/>
          <w:pgSz w:w="11907" w:h="16840" w:code="9"/>
          <w:pgMar w:top="1418" w:right="1701" w:bottom="1418" w:left="1701" w:header="720" w:footer="720" w:gutter="0"/>
          <w:cols w:space="709"/>
        </w:sectPr>
      </w:pPr>
      <w:r w:rsidRPr="0010493D">
        <w:rPr>
          <w:sz w:val="22"/>
          <w:szCs w:val="22"/>
          <w:lang w:val="es-MX"/>
        </w:rPr>
        <w:object w:dxaOrig="8811" w:dyaOrig="3436">
          <v:shape id="_x0000_i1056" type="#_x0000_t75" style="width:6in;height:180.75pt" o:ole="">
            <v:imagedata r:id="rId122" o:title=""/>
          </v:shape>
          <o:OLEObject Type="Embed" ProgID="Excel.Sheet.12" ShapeID="_x0000_i1056" DrawAspect="Content" ObjectID="_1388566693" r:id="rId123"/>
        </w:object>
      </w:r>
    </w:p>
    <w:p w:rsidR="00852557" w:rsidRDefault="00852557">
      <w:pPr>
        <w:rPr>
          <w:color w:val="FF0000"/>
          <w:sz w:val="22"/>
          <w:szCs w:val="22"/>
          <w:lang w:val="es-MX"/>
        </w:rPr>
      </w:pPr>
    </w:p>
    <w:p w:rsidR="00BC5C7F" w:rsidRDefault="00BC5C7F">
      <w:pPr>
        <w:rPr>
          <w:color w:val="FF0000"/>
          <w:sz w:val="22"/>
          <w:szCs w:val="22"/>
          <w:lang w:val="es-MX"/>
        </w:rPr>
      </w:pPr>
    </w:p>
    <w:p w:rsidR="00852557" w:rsidRDefault="00852557">
      <w:pPr>
        <w:rPr>
          <w:color w:val="FF0000"/>
          <w:sz w:val="22"/>
          <w:szCs w:val="22"/>
          <w:lang w:val="es-MX"/>
        </w:rPr>
        <w:sectPr w:rsidR="00852557">
          <w:type w:val="continuous"/>
          <w:pgSz w:w="11907" w:h="16840" w:code="9"/>
          <w:pgMar w:top="993" w:right="1701" w:bottom="709" w:left="1701" w:header="720" w:footer="720" w:gutter="0"/>
          <w:cols w:num="2" w:space="720"/>
        </w:sectPr>
      </w:pPr>
    </w:p>
    <w:p w:rsidR="00C20FD7" w:rsidRDefault="00594DAB" w:rsidP="00C20FD7">
      <w:pPr>
        <w:pStyle w:val="SBS"/>
        <w:rPr>
          <w:rFonts w:ascii="Times New Roman" w:hAnsi="Times New Roman"/>
        </w:rPr>
        <w:sectPr w:rsidR="00C20FD7" w:rsidSect="00CD44C9">
          <w:headerReference w:type="default" r:id="rId124"/>
          <w:footerReference w:type="default" r:id="rId125"/>
          <w:type w:val="continuous"/>
          <w:pgSz w:w="11907" w:h="16840" w:code="9"/>
          <w:pgMar w:top="993" w:right="1701" w:bottom="709" w:left="1701" w:header="720" w:footer="720" w:gutter="0"/>
          <w:cols w:num="2" w:space="720"/>
        </w:sectPr>
      </w:pPr>
      <w:r>
        <w:rPr>
          <w:rFonts w:ascii="Times New Roman" w:hAnsi="Times New Roman"/>
        </w:rPr>
        <w:lastRenderedPageBreak/>
        <w:t>A noviembre, e</w:t>
      </w:r>
      <w:r w:rsidRPr="00C02242">
        <w:rPr>
          <w:rFonts w:ascii="Times New Roman" w:hAnsi="Times New Roman"/>
        </w:rPr>
        <w:t xml:space="preserve">l Presupuesto </w:t>
      </w:r>
      <w:r>
        <w:rPr>
          <w:rFonts w:ascii="Times New Roman" w:hAnsi="Times New Roman"/>
        </w:rPr>
        <w:t>Institucional Modificado</w:t>
      </w:r>
      <w:r w:rsidRPr="00C02242">
        <w:rPr>
          <w:rFonts w:ascii="Times New Roman" w:hAnsi="Times New Roman"/>
        </w:rPr>
        <w:t xml:space="preserve"> (PI</w:t>
      </w:r>
      <w:r>
        <w:rPr>
          <w:rFonts w:ascii="Times New Roman" w:hAnsi="Times New Roman"/>
        </w:rPr>
        <w:t>M</w:t>
      </w:r>
      <w:r w:rsidRPr="00C02242">
        <w:rPr>
          <w:rFonts w:ascii="Times New Roman" w:hAnsi="Times New Roman"/>
        </w:rPr>
        <w:t xml:space="preserve">) </w:t>
      </w:r>
      <w:r>
        <w:rPr>
          <w:rFonts w:ascii="Times New Roman" w:hAnsi="Times New Roman"/>
        </w:rPr>
        <w:t xml:space="preserve">bordeó </w:t>
      </w:r>
      <w:r w:rsidRPr="00C02242">
        <w:rPr>
          <w:rFonts w:ascii="Times New Roman" w:hAnsi="Times New Roman"/>
        </w:rPr>
        <w:t>los S/.</w:t>
      </w:r>
      <w:r>
        <w:rPr>
          <w:rFonts w:ascii="Times New Roman" w:hAnsi="Times New Roman"/>
        </w:rPr>
        <w:t>342,4</w:t>
      </w:r>
      <w:r w:rsidRPr="00C02242">
        <w:rPr>
          <w:rFonts w:ascii="Times New Roman" w:hAnsi="Times New Roman"/>
        </w:rPr>
        <w:t xml:space="preserve"> millones</w:t>
      </w:r>
      <w:r>
        <w:rPr>
          <w:rFonts w:ascii="Times New Roman" w:hAnsi="Times New Roman"/>
        </w:rPr>
        <w:t xml:space="preserve">, mostrando </w:t>
      </w:r>
      <w:r w:rsidRPr="00C02242">
        <w:rPr>
          <w:rFonts w:ascii="Times New Roman" w:hAnsi="Times New Roman"/>
        </w:rPr>
        <w:t>una ejecución de</w:t>
      </w:r>
      <w:r>
        <w:rPr>
          <w:rFonts w:ascii="Times New Roman" w:hAnsi="Times New Roman"/>
        </w:rPr>
        <w:t>l</w:t>
      </w:r>
      <w:r w:rsidRPr="00C02242">
        <w:rPr>
          <w:rFonts w:ascii="Times New Roman" w:hAnsi="Times New Roman"/>
        </w:rPr>
        <w:t xml:space="preserve"> </w:t>
      </w:r>
      <w:r>
        <w:rPr>
          <w:rFonts w:ascii="Times New Roman" w:hAnsi="Times New Roman"/>
        </w:rPr>
        <w:t>53,8</w:t>
      </w:r>
      <w:r w:rsidRPr="00C02242">
        <w:rPr>
          <w:rFonts w:ascii="Times New Roman" w:hAnsi="Times New Roman"/>
        </w:rPr>
        <w:t xml:space="preserve"> </w:t>
      </w:r>
      <w:r w:rsidRPr="00C02242">
        <w:rPr>
          <w:rFonts w:ascii="Times New Roman" w:hAnsi="Times New Roman"/>
        </w:rPr>
        <w:lastRenderedPageBreak/>
        <w:t>por ciento</w:t>
      </w:r>
      <w:r>
        <w:rPr>
          <w:rFonts w:ascii="Times New Roman" w:hAnsi="Times New Roman"/>
        </w:rPr>
        <w:t xml:space="preserve">, con un </w:t>
      </w:r>
      <w:r w:rsidRPr="00C02242">
        <w:rPr>
          <w:rFonts w:ascii="Times New Roman" w:hAnsi="Times New Roman"/>
        </w:rPr>
        <w:t xml:space="preserve">avance del </w:t>
      </w:r>
      <w:r>
        <w:rPr>
          <w:rFonts w:ascii="Times New Roman" w:hAnsi="Times New Roman"/>
        </w:rPr>
        <w:t xml:space="preserve">75,2 </w:t>
      </w:r>
      <w:r w:rsidRPr="00C02242">
        <w:rPr>
          <w:rFonts w:ascii="Times New Roman" w:hAnsi="Times New Roman"/>
        </w:rPr>
        <w:t xml:space="preserve">por ciento en gastos corrientes y del </w:t>
      </w:r>
      <w:r>
        <w:rPr>
          <w:rFonts w:ascii="Times New Roman" w:hAnsi="Times New Roman"/>
        </w:rPr>
        <w:t>37,2</w:t>
      </w:r>
      <w:r w:rsidRPr="00C02242">
        <w:rPr>
          <w:rFonts w:ascii="Times New Roman" w:hAnsi="Times New Roman"/>
        </w:rPr>
        <w:t xml:space="preserve"> por ciento en gastos de capital</w:t>
      </w:r>
      <w:r>
        <w:rPr>
          <w:rFonts w:ascii="Times New Roman" w:hAnsi="Times New Roman"/>
        </w:rPr>
        <w:t>.</w:t>
      </w:r>
      <w:r w:rsidR="00C20FD7">
        <w:rPr>
          <w:rFonts w:ascii="Times New Roman" w:hAnsi="Times New Roman"/>
        </w:rPr>
        <w:t xml:space="preserve"> </w:t>
      </w:r>
    </w:p>
    <w:p w:rsidR="008D30F3" w:rsidRDefault="008D30F3" w:rsidP="008D30F3">
      <w:pPr>
        <w:pStyle w:val="SBS"/>
        <w:rPr>
          <w:rFonts w:ascii="Times New Roman" w:hAnsi="Times New Roman"/>
        </w:rPr>
      </w:pPr>
      <w:r>
        <w:rPr>
          <w:rFonts w:ascii="Times New Roman" w:hAnsi="Times New Roman"/>
        </w:rPr>
        <w:lastRenderedPageBreak/>
        <w:t xml:space="preserve"> </w:t>
      </w:r>
    </w:p>
    <w:p w:rsidR="00496397" w:rsidRDefault="00496397" w:rsidP="00496397">
      <w:pPr>
        <w:pStyle w:val="SBS"/>
        <w:rPr>
          <w:rFonts w:ascii="Times New Roman" w:hAnsi="Times New Roman"/>
        </w:rPr>
      </w:pPr>
      <w:r>
        <w:rPr>
          <w:rFonts w:ascii="Times New Roman" w:hAnsi="Times New Roman"/>
        </w:rPr>
        <w:lastRenderedPageBreak/>
        <w:t xml:space="preserve"> </w:t>
      </w:r>
    </w:p>
    <w:p w:rsidR="006640EA" w:rsidRDefault="006640EA" w:rsidP="006640EA">
      <w:pPr>
        <w:pStyle w:val="SBS"/>
        <w:rPr>
          <w:rFonts w:ascii="Times New Roman" w:hAnsi="Times New Roman"/>
        </w:rPr>
        <w:sectPr w:rsidR="006640EA" w:rsidSect="00CD44C9">
          <w:headerReference w:type="default" r:id="rId126"/>
          <w:footerReference w:type="default" r:id="rId127"/>
          <w:type w:val="continuous"/>
          <w:pgSz w:w="11907" w:h="16840" w:code="9"/>
          <w:pgMar w:top="993" w:right="1701" w:bottom="709" w:left="1701" w:header="720" w:footer="720" w:gutter="0"/>
          <w:cols w:num="2" w:space="720"/>
        </w:sectPr>
      </w:pPr>
    </w:p>
    <w:p w:rsidR="00852557" w:rsidRDefault="00852557">
      <w:pPr>
        <w:pStyle w:val="SBS"/>
        <w:rPr>
          <w:rFonts w:ascii="Times New Roman" w:hAnsi="Times New Roman"/>
        </w:rPr>
      </w:pPr>
      <w:r>
        <w:rPr>
          <w:rFonts w:ascii="Times New Roman" w:hAnsi="Times New Roman"/>
        </w:rPr>
        <w:lastRenderedPageBreak/>
        <w:t xml:space="preserve"> </w:t>
      </w:r>
    </w:p>
    <w:p w:rsidR="00852557" w:rsidRDefault="00852557">
      <w:pPr>
        <w:pStyle w:val="Textoindependiente2"/>
        <w:tabs>
          <w:tab w:val="left" w:pos="2552"/>
        </w:tabs>
        <w:rPr>
          <w:color w:val="FF0000"/>
          <w:sz w:val="22"/>
          <w:highlight w:val="yellow"/>
        </w:rPr>
        <w:sectPr w:rsidR="00852557">
          <w:headerReference w:type="even" r:id="rId128"/>
          <w:headerReference w:type="default" r:id="rId129"/>
          <w:footerReference w:type="default" r:id="rId130"/>
          <w:type w:val="continuous"/>
          <w:pgSz w:w="11907" w:h="16840" w:code="9"/>
          <w:pgMar w:top="1418" w:right="1701" w:bottom="1418" w:left="1701" w:header="720" w:footer="720" w:gutter="0"/>
          <w:cols w:num="2" w:space="720"/>
        </w:sectPr>
      </w:pPr>
    </w:p>
    <w:p w:rsidR="00852557" w:rsidRPr="003B7B43" w:rsidRDefault="00852557" w:rsidP="0008391D">
      <w:pPr>
        <w:pStyle w:val="Ttulo4"/>
        <w:keepNext w:val="0"/>
        <w:numPr>
          <w:ilvl w:val="0"/>
          <w:numId w:val="2"/>
        </w:numPr>
        <w:tabs>
          <w:tab w:val="clear" w:pos="-1099"/>
        </w:tabs>
        <w:jc w:val="left"/>
      </w:pPr>
      <w:r w:rsidRPr="003B7B43">
        <w:lastRenderedPageBreak/>
        <w:t>MONEDA Y CRÉDITO</w:t>
      </w:r>
    </w:p>
    <w:p w:rsidR="00852557" w:rsidRPr="003B7B43" w:rsidRDefault="00852557" w:rsidP="00253F18">
      <w:pPr>
        <w:pStyle w:val="Encabezado"/>
      </w:pPr>
    </w:p>
    <w:p w:rsidR="00852557" w:rsidRPr="0008391D" w:rsidRDefault="00852557" w:rsidP="0008391D">
      <w:pPr>
        <w:rPr>
          <w:b/>
        </w:rPr>
      </w:pPr>
      <w:r w:rsidRPr="0008391D">
        <w:rPr>
          <w:b/>
        </w:rPr>
        <w:t>5.1.</w:t>
      </w:r>
      <w:r w:rsidRPr="0008391D">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31"/>
          <w:headerReference w:type="default" r:id="rId132"/>
          <w:footerReference w:type="even" r:id="rId133"/>
          <w:footerReference w:type="default" r:id="rId134"/>
          <w:headerReference w:type="first" r:id="rId135"/>
          <w:footerReference w:type="first" r:id="rId136"/>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234A64" w:rsidRDefault="00234A64" w:rsidP="00234A64">
      <w:pPr>
        <w:pStyle w:val="SBS"/>
        <w:rPr>
          <w:rFonts w:ascii="Times New Roman" w:hAnsi="Times New Roman"/>
        </w:rPr>
      </w:pPr>
      <w:r>
        <w:rPr>
          <w:rFonts w:ascii="Times New Roman" w:hAnsi="Times New Roman"/>
        </w:rPr>
        <w:lastRenderedPageBreak/>
        <w:t xml:space="preserve">En noviembre, el saldo de depósitos del sistema financiero bordeó los S/.2 109,2 millones. Las mayores captaciones de las empresas bancarias (10,2 por ciento de crecimiento interanual) lograron compensar la caída en los depósitos de las instituciones de micro finanzas (-3,7 por ciento).  </w:t>
      </w:r>
    </w:p>
    <w:p w:rsidR="00234A64" w:rsidRDefault="00234A64" w:rsidP="00234A64">
      <w:pPr>
        <w:pStyle w:val="SBS"/>
        <w:rPr>
          <w:rFonts w:ascii="Times New Roman" w:hAnsi="Times New Roman"/>
        </w:rPr>
      </w:pPr>
      <w:r>
        <w:rPr>
          <w:rFonts w:ascii="Times New Roman" w:hAnsi="Times New Roman"/>
        </w:rPr>
        <w:lastRenderedPageBreak/>
        <w:t>Los depósitos en moneda nacional representaron el 67,4 por ciento del total y se expandieron 5,9 por ciento en términos interanuales, mientras que las captaciones en moneda extranjera se contrajeron levemente en 0,8 puntos porcentuales.</w:t>
      </w:r>
    </w:p>
    <w:p w:rsidR="003E2F1B" w:rsidRDefault="003E2F1B" w:rsidP="003E2F1B">
      <w:pPr>
        <w:pStyle w:val="SBS"/>
        <w:rPr>
          <w:rFonts w:ascii="Times New Roman" w:hAnsi="Times New Roman"/>
        </w:rPr>
      </w:pPr>
      <w:r>
        <w:rPr>
          <w:rFonts w:ascii="Times New Roman" w:hAnsi="Times New Roman"/>
        </w:rPr>
        <w:t xml:space="preserve"> </w:t>
      </w:r>
    </w:p>
    <w:p w:rsidR="008D30F3" w:rsidRDefault="008D30F3" w:rsidP="003E2F1B">
      <w:pPr>
        <w:pStyle w:val="SBS"/>
        <w:rPr>
          <w:rFonts w:ascii="Times New Roman" w:hAnsi="Times New Roman"/>
        </w:rPr>
        <w:sectPr w:rsidR="008D30F3" w:rsidSect="00A105B2">
          <w:type w:val="continuous"/>
          <w:pgSz w:w="11907" w:h="16840" w:code="9"/>
          <w:pgMar w:top="1531" w:right="1701" w:bottom="1531" w:left="1701" w:header="709" w:footer="709" w:gutter="0"/>
          <w:cols w:num="2" w:space="720"/>
          <w:docGrid w:linePitch="360"/>
        </w:sectPr>
      </w:pPr>
      <w:r>
        <w:rPr>
          <w:rFonts w:ascii="Times New Roman" w:hAnsi="Times New Roman"/>
        </w:rPr>
        <w:t xml:space="preserve"> </w:t>
      </w:r>
    </w:p>
    <w:p w:rsidR="00852557" w:rsidRDefault="003748DF">
      <w:pPr>
        <w:pStyle w:val="Textoindependiente"/>
        <w:jc w:val="center"/>
        <w:rPr>
          <w:rFonts w:ascii="Times New Roman" w:hAnsi="Times New Roman"/>
          <w:color w:val="FF0000"/>
          <w:sz w:val="22"/>
          <w:lang w:val="es-ES_tradnl"/>
        </w:rPr>
        <w:sectPr w:rsidR="00852557">
          <w:headerReference w:type="default" r:id="rId137"/>
          <w:footerReference w:type="default" r:id="rId138"/>
          <w:type w:val="continuous"/>
          <w:pgSz w:w="11907" w:h="16840" w:code="9"/>
          <w:pgMar w:top="1531" w:right="1701" w:bottom="1531" w:left="1701" w:header="709" w:footer="709" w:gutter="0"/>
          <w:cols w:space="720"/>
          <w:docGrid w:linePitch="360"/>
        </w:sectPr>
      </w:pPr>
      <w:r w:rsidRPr="0010493D">
        <w:rPr>
          <w:rFonts w:ascii="Times New Roman" w:hAnsi="Times New Roman"/>
          <w:color w:val="FF0000"/>
          <w:sz w:val="22"/>
          <w:lang w:val="es-ES_tradnl"/>
        </w:rPr>
        <w:object w:dxaOrig="5970" w:dyaOrig="4034">
          <v:shape id="_x0000_i1057" type="#_x0000_t75" style="width:308.25pt;height:209.25pt" o:ole="">
            <v:imagedata r:id="rId139" o:title=""/>
          </v:shape>
          <o:OLEObject Type="Embed" ProgID="Excel.Sheet.8" ShapeID="_x0000_i1057" DrawAspect="Content" ObjectID="_1388566694" r:id="rId140"/>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C20FD7" w:rsidRDefault="00234A64" w:rsidP="00C20FD7">
      <w:pPr>
        <w:pStyle w:val="Textoindependiente"/>
        <w:rPr>
          <w:rFonts w:ascii="Times New Roman" w:hAnsi="Times New Roman"/>
          <w:sz w:val="22"/>
        </w:rPr>
        <w:sectPr w:rsidR="00C20FD7" w:rsidSect="00DD1094">
          <w:type w:val="continuous"/>
          <w:pgSz w:w="11907" w:h="16840" w:code="9"/>
          <w:pgMar w:top="1531" w:right="1701" w:bottom="1531" w:left="1701" w:header="709" w:footer="709" w:gutter="0"/>
          <w:cols w:num="2" w:space="720"/>
          <w:docGrid w:linePitch="360"/>
        </w:sectPr>
      </w:pPr>
      <w:r>
        <w:rPr>
          <w:rFonts w:ascii="Times New Roman" w:hAnsi="Times New Roman"/>
          <w:sz w:val="22"/>
        </w:rPr>
        <w:lastRenderedPageBreak/>
        <w:t xml:space="preserve">Los depósitos a plazo dieron cuenta del 48,9 por ciento del total de captaciones del sistema financiero. No obstante, los ahorros </w:t>
      </w:r>
      <w:r>
        <w:rPr>
          <w:rFonts w:ascii="Times New Roman" w:hAnsi="Times New Roman"/>
          <w:sz w:val="22"/>
        </w:rPr>
        <w:lastRenderedPageBreak/>
        <w:t>corrientes denotaron un mayor dinamismo, al crecer a una tasa del 13,3 por ciento interanual.</w:t>
      </w: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3748DF">
      <w:pPr>
        <w:pStyle w:val="Textoindependiente"/>
        <w:jc w:val="center"/>
        <w:outlineLvl w:val="0"/>
        <w:rPr>
          <w:rFonts w:ascii="Times New Roman" w:hAnsi="Times New Roman"/>
          <w:color w:val="FF0000"/>
          <w:sz w:val="22"/>
        </w:rPr>
      </w:pPr>
      <w:r w:rsidRPr="0010493D">
        <w:rPr>
          <w:rFonts w:ascii="Times New Roman" w:hAnsi="Times New Roman"/>
          <w:color w:val="FF0000"/>
          <w:sz w:val="22"/>
        </w:rPr>
        <w:object w:dxaOrig="5970" w:dyaOrig="3059">
          <v:shape id="_x0000_i1058" type="#_x0000_t75" style="width:312pt;height:159.75pt" o:ole="">
            <v:imagedata r:id="rId141" o:title=""/>
          </v:shape>
          <o:OLEObject Type="Embed" ProgID="Excel.Sheet.12" ShapeID="_x0000_i1058" DrawAspect="Content" ObjectID="_1388566695" r:id="rId142"/>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C20FD7" w:rsidRDefault="00234A64" w:rsidP="00C20FD7">
      <w:pPr>
        <w:pStyle w:val="Textoindependiente"/>
        <w:outlineLvl w:val="0"/>
        <w:rPr>
          <w:rFonts w:ascii="Times New Roman" w:hAnsi="Times New Roman"/>
          <w:sz w:val="22"/>
        </w:rPr>
      </w:pPr>
      <w:r>
        <w:rPr>
          <w:rFonts w:ascii="Times New Roman" w:hAnsi="Times New Roman"/>
          <w:sz w:val="22"/>
        </w:rPr>
        <w:lastRenderedPageBreak/>
        <w:t xml:space="preserve">La Caja Piura es la institución que registró la mayor participación en el saldo total de depósitos, con una significación del 23,1 por ciento, seguida del Banco de Crédito </w:t>
      </w:r>
      <w:r>
        <w:rPr>
          <w:rFonts w:ascii="Times New Roman" w:hAnsi="Times New Roman"/>
          <w:sz w:val="22"/>
        </w:rPr>
        <w:lastRenderedPageBreak/>
        <w:t>(21,2 por ciento) y del Banco Continental (15,0 por ciento). En conjunto, estas tres entidades dieron cuenta del 59,3 por ciento de las captaciones del sistema.</w:t>
      </w: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3748DF">
      <w:pPr>
        <w:pStyle w:val="Textoindependiente"/>
        <w:jc w:val="center"/>
        <w:rPr>
          <w:rFonts w:ascii="Times New Roman" w:hAnsi="Times New Roman"/>
          <w:sz w:val="22"/>
        </w:rPr>
      </w:pPr>
      <w:r w:rsidRPr="0010493D">
        <w:rPr>
          <w:rFonts w:ascii="Times New Roman" w:hAnsi="Times New Roman"/>
          <w:sz w:val="22"/>
        </w:rPr>
        <w:object w:dxaOrig="5970" w:dyaOrig="6986">
          <v:shape id="_x0000_i1059" type="#_x0000_t75" style="width:323.25pt;height:341.25pt" o:ole="">
            <v:imagedata r:id="rId143" o:title=""/>
          </v:shape>
          <o:OLEObject Type="Embed" ProgID="Excel.Sheet.12" ShapeID="_x0000_i1059" DrawAspect="Content" ObjectID="_1388566696" r:id="rId144"/>
        </w:object>
      </w:r>
    </w:p>
    <w:p w:rsidR="003B7B43" w:rsidRDefault="003B7B43">
      <w:pPr>
        <w:pStyle w:val="Textoindependiente"/>
        <w:jc w:val="center"/>
        <w:rPr>
          <w:rFonts w:ascii="Times New Roman" w:hAnsi="Times New Roman"/>
          <w:sz w:val="22"/>
        </w:rPr>
      </w:pPr>
    </w:p>
    <w:p w:rsidR="00AC3F0F" w:rsidRDefault="00AC3F0F">
      <w:pPr>
        <w:pStyle w:val="Textoindependiente"/>
        <w:jc w:val="center"/>
        <w:rPr>
          <w:rFonts w:ascii="Times New Roman" w:hAnsi="Times New Roman"/>
          <w:sz w:val="22"/>
        </w:rPr>
        <w:sectPr w:rsidR="00AC3F0F">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3B7B43">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234A64" w:rsidRDefault="00234A64" w:rsidP="00234A64">
      <w:pPr>
        <w:pStyle w:val="Piedepgina"/>
        <w:tabs>
          <w:tab w:val="clear" w:pos="4419"/>
          <w:tab w:val="clear" w:pos="8838"/>
        </w:tabs>
        <w:outlineLvl w:val="0"/>
        <w:rPr>
          <w:sz w:val="22"/>
          <w:lang w:val="es-ES_tradnl"/>
        </w:rPr>
      </w:pPr>
      <w:r>
        <w:rPr>
          <w:sz w:val="22"/>
        </w:rPr>
        <w:lastRenderedPageBreak/>
        <w:t xml:space="preserve">Al término del mes, el saldo de créditos del sistema financiero bordeó los </w:t>
      </w:r>
      <w:r>
        <w:rPr>
          <w:sz w:val="22"/>
          <w:lang w:val="es-ES_tradnl"/>
        </w:rPr>
        <w:t>S/.4 079,6 millones, expandiéndose en 16,0 por ciento respecto de similar período del año pasado. Esto obedeció al incremento de las colocaciones de las empresas bancarias (18,4   por   ciento)   y   de las entidades de</w:t>
      </w:r>
      <w:r>
        <w:rPr>
          <w:sz w:val="22"/>
          <w:lang w:val="es-ES_tradnl"/>
        </w:rPr>
        <w:br w:type="column"/>
      </w:r>
      <w:r>
        <w:rPr>
          <w:sz w:val="22"/>
          <w:lang w:val="es-ES_tradnl"/>
        </w:rPr>
        <w:lastRenderedPageBreak/>
        <w:t>microcrédito (12,0 por ciento).</w:t>
      </w:r>
    </w:p>
    <w:p w:rsidR="00234A64" w:rsidRDefault="00234A64" w:rsidP="00234A64">
      <w:pPr>
        <w:pStyle w:val="Piedepgina"/>
        <w:tabs>
          <w:tab w:val="clear" w:pos="4419"/>
          <w:tab w:val="clear" w:pos="8838"/>
        </w:tabs>
        <w:outlineLvl w:val="0"/>
        <w:rPr>
          <w:sz w:val="22"/>
          <w:lang w:val="es-ES_tradnl"/>
        </w:rPr>
      </w:pPr>
      <w:r>
        <w:rPr>
          <w:sz w:val="22"/>
          <w:lang w:val="es-ES_tradnl"/>
        </w:rPr>
        <w:t>Las colocaciones en moneda nacional representaron el 76,4 por ciento del total, mostrando un crecimiento interanual del 16,4 por ciento, ligeramente superior al registrado por los créditos en moneda extranjera (15,0 por ciento).</w:t>
      </w:r>
    </w:p>
    <w:p w:rsidR="00C20FD7" w:rsidRDefault="00C20FD7" w:rsidP="00C20FD7">
      <w:pPr>
        <w:pStyle w:val="Piedepgina"/>
        <w:tabs>
          <w:tab w:val="clear" w:pos="4419"/>
          <w:tab w:val="clear" w:pos="8838"/>
        </w:tabs>
        <w:outlineLvl w:val="0"/>
        <w:rPr>
          <w:sz w:val="22"/>
          <w:lang w:val="es-ES_tradnl"/>
        </w:rPr>
      </w:pPr>
    </w:p>
    <w:p w:rsidR="00B225F2" w:rsidRDefault="00B225F2" w:rsidP="00AC3F0F">
      <w:pPr>
        <w:pStyle w:val="Piedepgina"/>
        <w:tabs>
          <w:tab w:val="clear" w:pos="4419"/>
          <w:tab w:val="clear" w:pos="8838"/>
        </w:tabs>
        <w:jc w:val="center"/>
        <w:outlineLvl w:val="0"/>
        <w:rPr>
          <w:sz w:val="22"/>
        </w:rPr>
        <w:sectPr w:rsidR="00B225F2" w:rsidSect="00B225F2">
          <w:type w:val="continuous"/>
          <w:pgSz w:w="11907" w:h="16840"/>
          <w:pgMar w:top="1418" w:right="1701" w:bottom="1418" w:left="1701" w:header="720" w:footer="720" w:gutter="0"/>
          <w:cols w:num="2" w:space="720"/>
        </w:sectPr>
      </w:pPr>
    </w:p>
    <w:p w:rsidR="00C20FD7" w:rsidRDefault="00F153EA" w:rsidP="00AC3F0F">
      <w:pPr>
        <w:pStyle w:val="Piedepgina"/>
        <w:tabs>
          <w:tab w:val="clear" w:pos="4419"/>
          <w:tab w:val="clear" w:pos="8838"/>
        </w:tabs>
        <w:jc w:val="center"/>
        <w:outlineLvl w:val="0"/>
        <w:rPr>
          <w:sz w:val="22"/>
          <w:lang w:val="es-ES_tradnl"/>
        </w:rPr>
      </w:pPr>
      <w:r>
        <w:rPr>
          <w:noProof/>
          <w:sz w:val="22"/>
          <w:lang w:val="es-PE" w:eastAsia="es-PE"/>
        </w:rPr>
        <w:lastRenderedPageBreak/>
        <w:pict>
          <v:shape id="_x0000_s9649" type="#_x0000_t75" style="position:absolute;left:0;text-align:left;margin-left:63.8pt;margin-top:-.7pt;width:298.5pt;height:223.4pt;z-index:251690496">
            <v:imagedata r:id="rId145" o:title=""/>
            <w10:wrap type="square"/>
          </v:shape>
          <o:OLEObject Type="Embed" ProgID="Excel.Sheet.12" ShapeID="_x0000_s9649" DrawAspect="Content" ObjectID="_1388566708" r:id="rId146"/>
        </w:pict>
      </w:r>
    </w:p>
    <w:p w:rsidR="00AC3F0F" w:rsidRDefault="00AC3F0F"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lang w:val="es-ES_tradnl"/>
        </w:rPr>
      </w:pPr>
    </w:p>
    <w:p w:rsidR="00234A64" w:rsidRDefault="00234A64" w:rsidP="00AC3F0F">
      <w:pPr>
        <w:pStyle w:val="Piedepgina"/>
        <w:tabs>
          <w:tab w:val="clear" w:pos="4419"/>
          <w:tab w:val="clear" w:pos="8838"/>
        </w:tabs>
        <w:jc w:val="center"/>
        <w:outlineLvl w:val="0"/>
        <w:rPr>
          <w:sz w:val="22"/>
        </w:rPr>
        <w:sectPr w:rsidR="00234A64" w:rsidSect="00AC3F0F">
          <w:type w:val="continuous"/>
          <w:pgSz w:w="11907" w:h="16840"/>
          <w:pgMar w:top="1418" w:right="1701" w:bottom="1418" w:left="1701" w:header="720" w:footer="720" w:gutter="0"/>
          <w:cols w:space="720"/>
        </w:sectPr>
      </w:pPr>
    </w:p>
    <w:p w:rsidR="00234A64" w:rsidRDefault="00234A64" w:rsidP="00C20FD7">
      <w:pPr>
        <w:pStyle w:val="Piedepgina"/>
        <w:tabs>
          <w:tab w:val="clear" w:pos="4419"/>
          <w:tab w:val="clear" w:pos="8838"/>
        </w:tabs>
        <w:outlineLvl w:val="0"/>
        <w:rPr>
          <w:sz w:val="22"/>
        </w:rPr>
      </w:pPr>
      <w:r>
        <w:rPr>
          <w:sz w:val="22"/>
        </w:rPr>
        <w:lastRenderedPageBreak/>
        <w:t xml:space="preserve">El Banco Continental registró la mayor participación (19,7 por ciento) en las colocaciones del sistema, siendo secundado por el Banco de Crédito (19,1 por ciento) y </w:t>
      </w:r>
      <w:r>
        <w:rPr>
          <w:sz w:val="22"/>
        </w:rPr>
        <w:lastRenderedPageBreak/>
        <w:t>la Caja Municipal de Sullana (10,3 por ciento). Estas tres entidades representaron, conjuntamente, el 49,0 por ciento del crédito otorgado en la región.</w:t>
      </w:r>
    </w:p>
    <w:p w:rsidR="00234A64" w:rsidRDefault="00234A64" w:rsidP="00C20FD7">
      <w:pPr>
        <w:pStyle w:val="Piedepgina"/>
        <w:tabs>
          <w:tab w:val="clear" w:pos="4419"/>
          <w:tab w:val="clear" w:pos="8838"/>
        </w:tabs>
        <w:outlineLvl w:val="0"/>
        <w:rPr>
          <w:sz w:val="22"/>
        </w:rPr>
        <w:sectPr w:rsidR="00234A64" w:rsidSect="00234A64">
          <w:type w:val="continuous"/>
          <w:pgSz w:w="11907" w:h="16840"/>
          <w:pgMar w:top="1418" w:right="1701" w:bottom="1418" w:left="1701" w:header="720" w:footer="720" w:gutter="0"/>
          <w:cols w:num="2" w:space="720"/>
        </w:sectPr>
      </w:pPr>
    </w:p>
    <w:p w:rsidR="00804B84" w:rsidRDefault="00804B8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3748DF">
      <w:pPr>
        <w:pStyle w:val="Piedepgina"/>
        <w:tabs>
          <w:tab w:val="clear" w:pos="4419"/>
          <w:tab w:val="clear" w:pos="8838"/>
        </w:tabs>
        <w:jc w:val="center"/>
        <w:outlineLvl w:val="0"/>
        <w:rPr>
          <w:color w:val="FF0000"/>
          <w:sz w:val="22"/>
        </w:rPr>
      </w:pPr>
      <w:r w:rsidRPr="0010493D">
        <w:rPr>
          <w:sz w:val="22"/>
        </w:rPr>
        <w:object w:dxaOrig="5970" w:dyaOrig="8252">
          <v:shape id="_x0000_i1060" type="#_x0000_t75" style="width:297pt;height:411pt" o:ole="">
            <v:imagedata r:id="rId147" o:title=""/>
          </v:shape>
          <o:OLEObject Type="Embed" ProgID="Excel.Sheet.12" ShapeID="_x0000_i1060" DrawAspect="Content" ObjectID="_1388566697" r:id="rId148"/>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9D31BD" w:rsidRDefault="00234A64" w:rsidP="00234A64">
      <w:pPr>
        <w:pStyle w:val="Textoindependiente"/>
        <w:rPr>
          <w:rFonts w:ascii="Times New Roman" w:hAnsi="Times New Roman"/>
          <w:sz w:val="22"/>
          <w:szCs w:val="22"/>
        </w:rPr>
      </w:pPr>
      <w:r>
        <w:rPr>
          <w:rFonts w:ascii="Times New Roman" w:hAnsi="Times New Roman"/>
          <w:sz w:val="22"/>
          <w:szCs w:val="22"/>
        </w:rPr>
        <w:lastRenderedPageBreak/>
        <w:t xml:space="preserve">En noviembre, el saldo de créditos superó al de depósitos, en S/.1 970,4  millones, lo que equivalió a 93,4 por ciento más. </w:t>
      </w:r>
      <w:r w:rsidRPr="009D31BD">
        <w:rPr>
          <w:rFonts w:ascii="Times New Roman" w:hAnsi="Times New Roman"/>
          <w:sz w:val="22"/>
          <w:szCs w:val="22"/>
        </w:rPr>
        <w:t xml:space="preserve">Los  créditos  </w:t>
      </w:r>
      <w:r w:rsidRPr="0060594B">
        <w:rPr>
          <w:rFonts w:ascii="Times New Roman" w:hAnsi="Times New Roman"/>
          <w:sz w:val="22"/>
          <w:szCs w:val="22"/>
        </w:rPr>
        <w:t xml:space="preserve">de </w:t>
      </w:r>
      <w:r>
        <w:rPr>
          <w:rFonts w:ascii="Times New Roman" w:hAnsi="Times New Roman"/>
          <w:sz w:val="22"/>
          <w:szCs w:val="22"/>
        </w:rPr>
        <w:t xml:space="preserve"> </w:t>
      </w:r>
      <w:r w:rsidRPr="0060594B">
        <w:rPr>
          <w:rFonts w:ascii="Times New Roman" w:hAnsi="Times New Roman"/>
          <w:sz w:val="22"/>
          <w:szCs w:val="22"/>
        </w:rPr>
        <w:t xml:space="preserve">consumo </w:t>
      </w:r>
      <w:r w:rsidR="009D31BD">
        <w:rPr>
          <w:rFonts w:ascii="Times New Roman" w:hAnsi="Times New Roman"/>
          <w:sz w:val="22"/>
          <w:szCs w:val="22"/>
        </w:rPr>
        <w:t>f</w:t>
      </w:r>
      <w:r w:rsidRPr="0060594B">
        <w:rPr>
          <w:rFonts w:ascii="Times New Roman" w:hAnsi="Times New Roman"/>
          <w:sz w:val="22"/>
          <w:szCs w:val="22"/>
        </w:rPr>
        <w:t xml:space="preserve">ueron los de mayor </w:t>
      </w:r>
      <w:r w:rsidR="009D31BD">
        <w:rPr>
          <w:rFonts w:ascii="Times New Roman" w:hAnsi="Times New Roman"/>
          <w:sz w:val="22"/>
          <w:szCs w:val="22"/>
        </w:rPr>
        <w:br w:type="column"/>
      </w:r>
      <w:r w:rsidRPr="0060594B">
        <w:rPr>
          <w:rFonts w:ascii="Times New Roman" w:hAnsi="Times New Roman"/>
          <w:sz w:val="22"/>
          <w:szCs w:val="22"/>
        </w:rPr>
        <w:lastRenderedPageBreak/>
        <w:t xml:space="preserve">significación, en tanto que los </w:t>
      </w:r>
      <w:r w:rsidR="009D31BD">
        <w:rPr>
          <w:rFonts w:ascii="Times New Roman" w:hAnsi="Times New Roman"/>
          <w:sz w:val="22"/>
          <w:szCs w:val="22"/>
        </w:rPr>
        <w:t xml:space="preserve">dirigidos a grandes empresas mostraron </w:t>
      </w:r>
      <w:r w:rsidRPr="0060594B">
        <w:rPr>
          <w:rFonts w:ascii="Times New Roman" w:hAnsi="Times New Roman"/>
          <w:sz w:val="22"/>
          <w:szCs w:val="22"/>
        </w:rPr>
        <w:t xml:space="preserve">el mayor crecimiento relativo respecto de </w:t>
      </w:r>
      <w:r>
        <w:rPr>
          <w:rFonts w:ascii="Times New Roman" w:hAnsi="Times New Roman"/>
          <w:sz w:val="22"/>
          <w:szCs w:val="22"/>
        </w:rPr>
        <w:t>noviembre</w:t>
      </w:r>
      <w:r w:rsidRPr="0060594B">
        <w:rPr>
          <w:rFonts w:ascii="Times New Roman" w:hAnsi="Times New Roman"/>
          <w:sz w:val="22"/>
          <w:szCs w:val="22"/>
        </w:rPr>
        <w:t xml:space="preserve"> de</w:t>
      </w:r>
      <w:r>
        <w:rPr>
          <w:rFonts w:ascii="Times New Roman" w:hAnsi="Times New Roman"/>
          <w:sz w:val="22"/>
          <w:szCs w:val="22"/>
        </w:rPr>
        <w:t>l</w:t>
      </w:r>
      <w:r w:rsidRPr="0060594B">
        <w:rPr>
          <w:rFonts w:ascii="Times New Roman" w:hAnsi="Times New Roman"/>
          <w:sz w:val="22"/>
          <w:szCs w:val="22"/>
        </w:rPr>
        <w:t xml:space="preserve"> 20</w:t>
      </w:r>
      <w:r>
        <w:rPr>
          <w:rFonts w:ascii="Times New Roman" w:hAnsi="Times New Roman"/>
          <w:sz w:val="22"/>
          <w:szCs w:val="22"/>
        </w:rPr>
        <w:t>10</w:t>
      </w:r>
      <w:r w:rsidRPr="0060594B">
        <w:rPr>
          <w:rFonts w:ascii="Times New Roman" w:hAnsi="Times New Roman"/>
          <w:sz w:val="22"/>
          <w:szCs w:val="22"/>
        </w:rPr>
        <w:t>.</w:t>
      </w:r>
    </w:p>
    <w:p w:rsidR="009D31BD" w:rsidRDefault="009D31BD" w:rsidP="00234A64">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num="2" w:space="720"/>
        </w:sectPr>
      </w:pPr>
    </w:p>
    <w:p w:rsidR="00234A64" w:rsidRDefault="00F153EA" w:rsidP="00234A64">
      <w:pPr>
        <w:pStyle w:val="Textoindependiente"/>
        <w:rPr>
          <w:rFonts w:ascii="Times New Roman" w:hAnsi="Times New Roman"/>
          <w:sz w:val="22"/>
          <w:szCs w:val="22"/>
        </w:rPr>
      </w:pPr>
      <w:r w:rsidRPr="00F153EA">
        <w:rPr>
          <w:rFonts w:ascii="Times New Roman" w:hAnsi="Times New Roman"/>
          <w:noProof/>
        </w:rPr>
        <w:lastRenderedPageBreak/>
        <w:pict>
          <v:shape id="_x0000_s9781" type="#_x0000_t75" style="position:absolute;left:0;text-align:left;margin-left:43.2pt;margin-top:6.5pt;width:354pt;height:200.6pt;z-index:251698688">
            <v:imagedata r:id="rId149" o:title=""/>
            <w10:wrap type="square"/>
          </v:shape>
          <o:OLEObject Type="Embed" ProgID="Excel.Sheet.8" ShapeID="_x0000_s9781" DrawAspect="Content" ObjectID="_1388566709" r:id="rId150"/>
        </w:pict>
      </w:r>
    </w:p>
    <w:p w:rsidR="009D31BD" w:rsidRDefault="009D31BD" w:rsidP="00DF042A">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space="720"/>
        </w:sectPr>
      </w:pPr>
    </w:p>
    <w:p w:rsidR="00F771D3" w:rsidRDefault="00F771D3" w:rsidP="00DF042A">
      <w:pPr>
        <w:pStyle w:val="Textoindependiente"/>
        <w:rPr>
          <w:rFonts w:ascii="Times New Roman" w:hAnsi="Times New Roman"/>
          <w:sz w:val="22"/>
          <w:szCs w:val="22"/>
        </w:rPr>
      </w:pPr>
    </w:p>
    <w:p w:rsidR="00D4438E" w:rsidRDefault="00D4438E" w:rsidP="00A02526">
      <w:pPr>
        <w:pStyle w:val="Textoindependiente"/>
        <w:rPr>
          <w:rFonts w:ascii="Times New Roman" w:hAnsi="Times New Roman"/>
          <w:sz w:val="22"/>
          <w:szCs w:val="22"/>
        </w:rPr>
        <w:sectPr w:rsidR="00D4438E" w:rsidSect="00333A50">
          <w:type w:val="continuous"/>
          <w:pgSz w:w="11907" w:h="16840"/>
          <w:pgMar w:top="1418" w:right="1701" w:bottom="1418" w:left="1701" w:header="720" w:footer="720" w:gutter="0"/>
          <w:cols w:num="2" w:space="720"/>
        </w:sectPr>
      </w:pPr>
    </w:p>
    <w:p w:rsidR="00BC5C7F" w:rsidRDefault="00BC5C7F" w:rsidP="00A02526">
      <w:pPr>
        <w:pStyle w:val="Textoindependiente"/>
        <w:rPr>
          <w:rFonts w:ascii="Times New Roman" w:hAnsi="Times New Roman"/>
          <w:sz w:val="22"/>
          <w:szCs w:val="22"/>
        </w:rPr>
      </w:pPr>
    </w:p>
    <w:p w:rsidR="00D4438E" w:rsidRDefault="00D4438E" w:rsidP="00A02526">
      <w:pPr>
        <w:pStyle w:val="Textoindependiente"/>
        <w:rPr>
          <w:rFonts w:ascii="Times New Roman" w:hAnsi="Times New Roman"/>
          <w:sz w:val="22"/>
          <w:szCs w:val="22"/>
        </w:rPr>
        <w:sectPr w:rsidR="00D4438E" w:rsidSect="00D4438E">
          <w:type w:val="continuous"/>
          <w:pgSz w:w="11907" w:h="16840"/>
          <w:pgMar w:top="1418" w:right="1701" w:bottom="1418" w:left="1701" w:header="720" w:footer="720" w:gutter="0"/>
          <w:cols w:space="720"/>
        </w:sectPr>
      </w:pPr>
    </w:p>
    <w:p w:rsidR="003748DF" w:rsidRDefault="00234A64" w:rsidP="00234A64">
      <w:pPr>
        <w:pStyle w:val="Piedepgina"/>
        <w:tabs>
          <w:tab w:val="clear" w:pos="4419"/>
          <w:tab w:val="clear" w:pos="8838"/>
        </w:tabs>
        <w:outlineLvl w:val="0"/>
        <w:rPr>
          <w:sz w:val="22"/>
          <w:szCs w:val="22"/>
        </w:rPr>
      </w:pPr>
      <w:r w:rsidRPr="00835BAD">
        <w:rPr>
          <w:sz w:val="22"/>
          <w:szCs w:val="22"/>
        </w:rPr>
        <w:lastRenderedPageBreak/>
        <w:t xml:space="preserve">En cuanto </w:t>
      </w:r>
      <w:r w:rsidRPr="003D68E1">
        <w:rPr>
          <w:sz w:val="22"/>
          <w:szCs w:val="22"/>
        </w:rPr>
        <w:t xml:space="preserve">a </w:t>
      </w:r>
      <w:r w:rsidRPr="00F873BF">
        <w:rPr>
          <w:sz w:val="22"/>
          <w:szCs w:val="22"/>
        </w:rPr>
        <w:t xml:space="preserve">la </w:t>
      </w:r>
      <w:r w:rsidRPr="000327D2">
        <w:rPr>
          <w:sz w:val="22"/>
          <w:szCs w:val="22"/>
        </w:rPr>
        <w:t>cartera pesada, ésta se</w:t>
      </w:r>
      <w:r w:rsidRPr="002E51A4">
        <w:rPr>
          <w:sz w:val="22"/>
          <w:szCs w:val="22"/>
        </w:rPr>
        <w:t xml:space="preserve"> ubicó en </w:t>
      </w:r>
      <w:r>
        <w:rPr>
          <w:sz w:val="22"/>
          <w:szCs w:val="22"/>
        </w:rPr>
        <w:t xml:space="preserve">4,0 </w:t>
      </w:r>
      <w:r w:rsidRPr="002E51A4">
        <w:rPr>
          <w:sz w:val="22"/>
          <w:szCs w:val="22"/>
        </w:rPr>
        <w:t>por ciento, como p</w:t>
      </w:r>
      <w:r>
        <w:rPr>
          <w:sz w:val="22"/>
          <w:szCs w:val="22"/>
        </w:rPr>
        <w:t>roporción</w:t>
      </w:r>
      <w:r w:rsidRPr="002E51A4">
        <w:rPr>
          <w:sz w:val="22"/>
          <w:szCs w:val="22"/>
        </w:rPr>
        <w:t xml:space="preserve"> de las colocaciones brutas, </w:t>
      </w:r>
      <w:r>
        <w:rPr>
          <w:sz w:val="22"/>
          <w:szCs w:val="22"/>
        </w:rPr>
        <w:t xml:space="preserve">superando </w:t>
      </w:r>
      <w:r w:rsidRPr="00F6494F">
        <w:rPr>
          <w:sz w:val="22"/>
          <w:szCs w:val="22"/>
        </w:rPr>
        <w:t xml:space="preserve">en </w:t>
      </w:r>
      <w:r>
        <w:rPr>
          <w:sz w:val="22"/>
          <w:szCs w:val="22"/>
        </w:rPr>
        <w:t xml:space="preserve">0,1 puntos </w:t>
      </w:r>
      <w:r>
        <w:rPr>
          <w:sz w:val="22"/>
          <w:szCs w:val="22"/>
        </w:rPr>
        <w:lastRenderedPageBreak/>
        <w:t>porcentuales a la morosidad de noviembre del año anterior.</w:t>
      </w:r>
    </w:p>
    <w:p w:rsidR="003748DF" w:rsidRDefault="003748DF" w:rsidP="00234A64">
      <w:pPr>
        <w:pStyle w:val="Piedepgina"/>
        <w:tabs>
          <w:tab w:val="clear" w:pos="4419"/>
          <w:tab w:val="clear" w:pos="8838"/>
        </w:tabs>
        <w:outlineLvl w:val="0"/>
        <w:rPr>
          <w:sz w:val="22"/>
          <w:szCs w:val="22"/>
        </w:rPr>
        <w:sectPr w:rsidR="003748DF" w:rsidSect="003748DF">
          <w:headerReference w:type="default" r:id="rId151"/>
          <w:footerReference w:type="default" r:id="rId152"/>
          <w:type w:val="continuous"/>
          <w:pgSz w:w="12240" w:h="15840"/>
          <w:pgMar w:top="1417" w:right="1701" w:bottom="1417" w:left="1701" w:header="708" w:footer="708" w:gutter="0"/>
          <w:cols w:num="2" w:space="720"/>
          <w:docGrid w:linePitch="360"/>
        </w:sectPr>
      </w:pPr>
    </w:p>
    <w:p w:rsidR="00234A64" w:rsidRDefault="00234A64" w:rsidP="00234A64">
      <w:pPr>
        <w:pStyle w:val="Piedepgina"/>
        <w:tabs>
          <w:tab w:val="clear" w:pos="4419"/>
          <w:tab w:val="clear" w:pos="8838"/>
        </w:tabs>
        <w:outlineLvl w:val="0"/>
        <w:rPr>
          <w:sz w:val="22"/>
          <w:szCs w:val="22"/>
        </w:rPr>
      </w:pPr>
    </w:p>
    <w:p w:rsidR="00234A64" w:rsidRDefault="00234A64" w:rsidP="00234A64">
      <w:pPr>
        <w:pStyle w:val="Piedepgina"/>
        <w:tabs>
          <w:tab w:val="clear" w:pos="4419"/>
          <w:tab w:val="clear" w:pos="8838"/>
        </w:tabs>
        <w:outlineLvl w:val="0"/>
        <w:rPr>
          <w:sz w:val="22"/>
          <w:szCs w:val="22"/>
        </w:rPr>
        <w:sectPr w:rsidR="00234A64" w:rsidSect="003748DF">
          <w:type w:val="continuous"/>
          <w:pgSz w:w="12240" w:h="15840"/>
          <w:pgMar w:top="1417" w:right="1701" w:bottom="1417" w:left="1701" w:header="708" w:footer="708" w:gutter="0"/>
          <w:cols w:space="720"/>
          <w:docGrid w:linePitch="360"/>
        </w:sectPr>
      </w:pPr>
    </w:p>
    <w:p w:rsidR="00234A64" w:rsidRDefault="00234A64" w:rsidP="00234A64">
      <w:pPr>
        <w:pStyle w:val="Piedepgina"/>
        <w:tabs>
          <w:tab w:val="clear" w:pos="4419"/>
          <w:tab w:val="clear" w:pos="8838"/>
        </w:tabs>
        <w:outlineLvl w:val="0"/>
        <w:rPr>
          <w:sz w:val="22"/>
          <w:szCs w:val="22"/>
        </w:rPr>
      </w:pPr>
    </w:p>
    <w:p w:rsidR="00A02526" w:rsidRDefault="00A02526">
      <w:pPr>
        <w:pStyle w:val="Textoindependiente"/>
        <w:jc w:val="center"/>
        <w:rPr>
          <w:color w:val="FF0000"/>
          <w:sz w:val="22"/>
        </w:rPr>
      </w:pPr>
    </w:p>
    <w:p w:rsidR="00A02526" w:rsidRDefault="00A02526">
      <w:pPr>
        <w:pStyle w:val="Textoindependiente"/>
        <w:jc w:val="center"/>
        <w:rPr>
          <w:color w:val="FF0000"/>
          <w:sz w:val="22"/>
        </w:rPr>
        <w:sectPr w:rsidR="00A02526" w:rsidSect="00A02526">
          <w:type w:val="continuous"/>
          <w:pgSz w:w="12240" w:h="15840"/>
          <w:pgMar w:top="1417" w:right="1701" w:bottom="1417" w:left="1701" w:header="708" w:footer="708" w:gutter="0"/>
          <w:cols w:num="2" w:space="720"/>
          <w:docGrid w:linePitch="360"/>
        </w:sectPr>
      </w:pPr>
    </w:p>
    <w:p w:rsidR="00234A64" w:rsidRDefault="003748DF">
      <w:pPr>
        <w:pStyle w:val="Textoindependiente"/>
        <w:jc w:val="center"/>
        <w:rPr>
          <w:color w:val="FF0000"/>
          <w:sz w:val="22"/>
        </w:rPr>
        <w:sectPr w:rsidR="00234A64" w:rsidSect="00234A64">
          <w:type w:val="continuous"/>
          <w:pgSz w:w="12240" w:h="15840"/>
          <w:pgMar w:top="1417" w:right="1701" w:bottom="1417" w:left="1701" w:header="708" w:footer="708" w:gutter="0"/>
          <w:cols w:space="720"/>
          <w:docGrid w:linePitch="360"/>
        </w:sectPr>
      </w:pPr>
      <w:r w:rsidRPr="0010493D">
        <w:rPr>
          <w:color w:val="FF0000"/>
          <w:sz w:val="22"/>
        </w:rPr>
        <w:object w:dxaOrig="5970" w:dyaOrig="4252">
          <v:shape id="_x0000_i1061" type="#_x0000_t75" style="width:305.25pt;height:218.25pt" o:ole="">
            <v:imagedata r:id="rId153" o:title=""/>
          </v:shape>
          <o:OLEObject Type="Embed" ProgID="Excel.Sheet.12" ShapeID="_x0000_i1061" DrawAspect="Content" ObjectID="_1388566698" r:id="rId154"/>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9D31BD">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D4438E" w:rsidRDefault="00DF042A" w:rsidP="00F771D3">
      <w:pPr>
        <w:pStyle w:val="Textoindependiente"/>
        <w:rPr>
          <w:rFonts w:ascii="Times New Roman" w:hAnsi="Times New Roman"/>
          <w:sz w:val="22"/>
          <w:szCs w:val="24"/>
          <w:lang w:val="es-ES"/>
        </w:rPr>
      </w:pPr>
      <w:r w:rsidRPr="00E7741A">
        <w:rPr>
          <w:rFonts w:ascii="Times New Roman" w:hAnsi="Times New Roman"/>
          <w:sz w:val="22"/>
          <w:szCs w:val="24"/>
          <w:lang w:val="es-ES"/>
        </w:rPr>
        <w:lastRenderedPageBreak/>
        <w:t xml:space="preserve">El crédito otorgado a la pequeña y microempresa bordeó los S/.1 </w:t>
      </w:r>
      <w:r>
        <w:rPr>
          <w:rFonts w:ascii="Times New Roman" w:hAnsi="Times New Roman"/>
          <w:sz w:val="22"/>
          <w:szCs w:val="24"/>
          <w:lang w:val="es-ES"/>
        </w:rPr>
        <w:t>3</w:t>
      </w:r>
      <w:r w:rsidR="009D31BD">
        <w:rPr>
          <w:rFonts w:ascii="Times New Roman" w:hAnsi="Times New Roman"/>
          <w:sz w:val="22"/>
          <w:szCs w:val="24"/>
          <w:lang w:val="es-ES"/>
        </w:rPr>
        <w:t>83</w:t>
      </w:r>
      <w:r>
        <w:rPr>
          <w:rFonts w:ascii="Times New Roman" w:hAnsi="Times New Roman"/>
          <w:sz w:val="22"/>
          <w:szCs w:val="24"/>
          <w:lang w:val="es-ES"/>
        </w:rPr>
        <w:t>,</w:t>
      </w:r>
      <w:r w:rsidR="009D31BD">
        <w:rPr>
          <w:rFonts w:ascii="Times New Roman" w:hAnsi="Times New Roman"/>
          <w:sz w:val="22"/>
          <w:szCs w:val="24"/>
          <w:lang w:val="es-ES"/>
        </w:rPr>
        <w:t>7</w:t>
      </w:r>
      <w:r w:rsidRPr="00E7741A">
        <w:rPr>
          <w:rFonts w:ascii="Times New Roman" w:hAnsi="Times New Roman"/>
          <w:sz w:val="22"/>
          <w:szCs w:val="24"/>
          <w:lang w:val="es-ES"/>
        </w:rPr>
        <w:t xml:space="preserve">  millones</w:t>
      </w:r>
      <w:r>
        <w:rPr>
          <w:rFonts w:ascii="Times New Roman" w:hAnsi="Times New Roman"/>
          <w:sz w:val="22"/>
          <w:szCs w:val="24"/>
          <w:lang w:val="es-ES"/>
        </w:rPr>
        <w:t>,</w:t>
      </w:r>
      <w:r w:rsidRPr="00E7741A">
        <w:rPr>
          <w:rFonts w:ascii="Times New Roman" w:hAnsi="Times New Roman"/>
          <w:sz w:val="22"/>
          <w:szCs w:val="24"/>
          <w:lang w:val="es-ES"/>
        </w:rPr>
        <w:t xml:space="preserve"> mostrando un incremento relativo del 1</w:t>
      </w:r>
      <w:r w:rsidR="009D31BD">
        <w:rPr>
          <w:rFonts w:ascii="Times New Roman" w:hAnsi="Times New Roman"/>
          <w:sz w:val="22"/>
          <w:szCs w:val="24"/>
          <w:lang w:val="es-ES"/>
        </w:rPr>
        <w:t>0</w:t>
      </w:r>
      <w:r w:rsidR="00D252D5">
        <w:rPr>
          <w:rFonts w:ascii="Times New Roman" w:hAnsi="Times New Roman"/>
          <w:sz w:val="22"/>
          <w:szCs w:val="24"/>
          <w:lang w:val="es-ES"/>
        </w:rPr>
        <w:t>,</w:t>
      </w:r>
      <w:r w:rsidR="00C83B31">
        <w:rPr>
          <w:rFonts w:ascii="Times New Roman" w:hAnsi="Times New Roman"/>
          <w:sz w:val="22"/>
          <w:szCs w:val="24"/>
          <w:lang w:val="es-ES"/>
        </w:rPr>
        <w:t>2</w:t>
      </w:r>
      <w:r w:rsidRPr="00E7741A">
        <w:rPr>
          <w:rFonts w:ascii="Times New Roman" w:hAnsi="Times New Roman"/>
          <w:sz w:val="22"/>
          <w:szCs w:val="24"/>
          <w:lang w:val="es-ES"/>
        </w:rPr>
        <w:t xml:space="preserve"> por ciento respecto de </w:t>
      </w:r>
      <w:r w:rsidR="009D31BD">
        <w:rPr>
          <w:rFonts w:ascii="Times New Roman" w:hAnsi="Times New Roman"/>
          <w:sz w:val="22"/>
          <w:szCs w:val="24"/>
          <w:lang w:val="es-ES"/>
        </w:rPr>
        <w:t>noviem</w:t>
      </w:r>
      <w:r w:rsidR="00D252D5">
        <w:rPr>
          <w:rFonts w:ascii="Times New Roman" w:hAnsi="Times New Roman"/>
          <w:sz w:val="22"/>
          <w:szCs w:val="24"/>
          <w:lang w:val="es-ES"/>
        </w:rPr>
        <w:t>bre</w:t>
      </w:r>
      <w:r w:rsidRPr="00E7741A">
        <w:rPr>
          <w:rFonts w:ascii="Times New Roman" w:hAnsi="Times New Roman"/>
          <w:sz w:val="22"/>
          <w:szCs w:val="24"/>
          <w:lang w:val="es-ES"/>
        </w:rPr>
        <w:t xml:space="preserve"> del </w:t>
      </w:r>
      <w:r w:rsidRPr="00E7741A">
        <w:rPr>
          <w:rFonts w:ascii="Times New Roman" w:hAnsi="Times New Roman"/>
          <w:sz w:val="22"/>
          <w:szCs w:val="24"/>
          <w:lang w:val="es-ES"/>
        </w:rPr>
        <w:lastRenderedPageBreak/>
        <w:t>año pasado. Las cajas municipales constituye</w:t>
      </w:r>
      <w:r w:rsidR="00D252D5">
        <w:rPr>
          <w:rFonts w:ascii="Times New Roman" w:hAnsi="Times New Roman"/>
          <w:sz w:val="22"/>
          <w:szCs w:val="24"/>
          <w:lang w:val="es-ES"/>
        </w:rPr>
        <w:t>ro</w:t>
      </w:r>
      <w:r w:rsidRPr="00E7741A">
        <w:rPr>
          <w:rFonts w:ascii="Times New Roman" w:hAnsi="Times New Roman"/>
          <w:sz w:val="22"/>
          <w:szCs w:val="24"/>
          <w:lang w:val="es-ES"/>
        </w:rPr>
        <w:t>n la</w:t>
      </w:r>
      <w:r>
        <w:rPr>
          <w:rFonts w:ascii="Times New Roman" w:hAnsi="Times New Roman"/>
          <w:sz w:val="22"/>
          <w:szCs w:val="24"/>
          <w:lang w:val="es-ES"/>
        </w:rPr>
        <w:t xml:space="preserve"> </w:t>
      </w:r>
      <w:r w:rsidRPr="00C53F13">
        <w:rPr>
          <w:rFonts w:ascii="Times New Roman" w:hAnsi="Times New Roman"/>
          <w:sz w:val="22"/>
          <w:szCs w:val="24"/>
          <w:lang w:val="es-ES"/>
        </w:rPr>
        <w:t>principal fuente de crédito de dicho segmento empresarial</w:t>
      </w:r>
      <w:r w:rsidR="00D252D5">
        <w:rPr>
          <w:rFonts w:ascii="Times New Roman" w:hAnsi="Times New Roman"/>
          <w:sz w:val="22"/>
          <w:szCs w:val="24"/>
          <w:lang w:val="es-ES"/>
        </w:rPr>
        <w:t>, siendo</w:t>
      </w:r>
      <w:r>
        <w:rPr>
          <w:rFonts w:ascii="Times New Roman" w:hAnsi="Times New Roman"/>
          <w:sz w:val="22"/>
          <w:szCs w:val="24"/>
          <w:lang w:val="es-ES"/>
        </w:rPr>
        <w:t xml:space="preserve"> se</w:t>
      </w:r>
      <w:r w:rsidR="00D252D5">
        <w:rPr>
          <w:rFonts w:ascii="Times New Roman" w:hAnsi="Times New Roman"/>
          <w:sz w:val="22"/>
          <w:szCs w:val="24"/>
          <w:lang w:val="es-ES"/>
        </w:rPr>
        <w:t>guidas</w:t>
      </w:r>
      <w:r>
        <w:rPr>
          <w:rFonts w:ascii="Times New Roman" w:hAnsi="Times New Roman"/>
          <w:sz w:val="22"/>
          <w:szCs w:val="24"/>
          <w:lang w:val="es-ES"/>
        </w:rPr>
        <w:t xml:space="preserve"> de cerca por la</w:t>
      </w:r>
      <w:r w:rsidR="00D252D5">
        <w:rPr>
          <w:rFonts w:ascii="Times New Roman" w:hAnsi="Times New Roman"/>
          <w:sz w:val="22"/>
          <w:szCs w:val="24"/>
          <w:lang w:val="es-ES"/>
        </w:rPr>
        <w:t>s empresas bancarias</w:t>
      </w:r>
      <w:r w:rsidRPr="00C53F13">
        <w:rPr>
          <w:rFonts w:ascii="Times New Roman" w:hAnsi="Times New Roman"/>
          <w:sz w:val="22"/>
          <w:szCs w:val="24"/>
          <w:lang w:val="es-ES"/>
        </w:rPr>
        <w:t>.</w:t>
      </w:r>
    </w:p>
    <w:p w:rsidR="00BC5C7F" w:rsidRDefault="00BC5C7F" w:rsidP="00F771D3">
      <w:pPr>
        <w:pStyle w:val="Textoindependiente"/>
        <w:rPr>
          <w:rFonts w:ascii="Times New Roman" w:hAnsi="Times New Roman"/>
          <w:sz w:val="22"/>
          <w:szCs w:val="24"/>
          <w:lang w:val="es-ES"/>
        </w:rPr>
        <w:sectPr w:rsidR="00BC5C7F" w:rsidSect="00D4438E">
          <w:type w:val="continuous"/>
          <w:pgSz w:w="12240" w:h="15840"/>
          <w:pgMar w:top="1417" w:right="1701" w:bottom="1417" w:left="1701" w:header="708" w:footer="708" w:gutter="0"/>
          <w:cols w:num="2" w:space="720"/>
          <w:docGrid w:linePitch="360"/>
        </w:sectPr>
      </w:pPr>
    </w:p>
    <w:p w:rsidR="00F771D3" w:rsidRDefault="00F771D3" w:rsidP="00F771D3">
      <w:pPr>
        <w:pStyle w:val="Textoindependiente"/>
        <w:rPr>
          <w:rFonts w:ascii="Times New Roman" w:hAnsi="Times New Roman"/>
          <w:sz w:val="22"/>
          <w:szCs w:val="24"/>
          <w:lang w:val="es-ES"/>
        </w:rPr>
        <w:sectPr w:rsidR="00F771D3" w:rsidSect="00E84942">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 </w:t>
      </w:r>
    </w:p>
    <w:p w:rsidR="00A02526" w:rsidRDefault="00A02526" w:rsidP="00A02526">
      <w:pPr>
        <w:pStyle w:val="Textoindependiente"/>
        <w:rPr>
          <w:rFonts w:ascii="Times New Roman" w:hAnsi="Times New Roman"/>
          <w:sz w:val="22"/>
          <w:szCs w:val="24"/>
          <w:lang w:val="es-ES"/>
        </w:rPr>
        <w:sectPr w:rsidR="00A02526" w:rsidSect="00E40F0D">
          <w:type w:val="continuous"/>
          <w:pgSz w:w="12240" w:h="15840"/>
          <w:pgMar w:top="1417" w:right="1701" w:bottom="1417" w:left="1701" w:header="708" w:footer="708" w:gutter="0"/>
          <w:cols w:num="2" w:space="720"/>
          <w:docGrid w:linePitch="360"/>
        </w:sectPr>
      </w:pPr>
    </w:p>
    <w:p w:rsidR="00A02526" w:rsidRDefault="003711B6" w:rsidP="00A02526">
      <w:pPr>
        <w:pStyle w:val="Textoindependiente"/>
        <w:jc w:val="center"/>
        <w:rPr>
          <w:color w:val="FF0000"/>
          <w:sz w:val="22"/>
        </w:rPr>
      </w:pPr>
      <w:r w:rsidRPr="00237060">
        <w:rPr>
          <w:color w:val="FF0000"/>
          <w:sz w:val="22"/>
        </w:rPr>
        <w:object w:dxaOrig="6016" w:dyaOrig="4302">
          <v:shape id="_x0000_i1062" type="#_x0000_t75" style="width:300.75pt;height:215.25pt" o:ole="">
            <v:imagedata r:id="rId155" o:title=""/>
          </v:shape>
          <o:OLEObject Type="Embed" ProgID="Excel.Sheet.8" ShapeID="_x0000_i1062" DrawAspect="Content" ObjectID="_1388566699" r:id="rId156"/>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AB2CA4" w:rsidRDefault="00AB2CA4">
      <w:pPr>
        <w:rPr>
          <w:color w:val="FF0000"/>
          <w:lang w:val="es-MX"/>
        </w:rPr>
      </w:pPr>
    </w:p>
    <w:p w:rsidR="00852557" w:rsidRDefault="00852557">
      <w:pPr>
        <w:rPr>
          <w:color w:val="FF0000"/>
          <w:lang w:val="es-MX"/>
        </w:rPr>
      </w:pPr>
    </w:p>
    <w:p w:rsidR="00333A50" w:rsidRDefault="00333A50">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9D0A9C">
        <w:rPr>
          <w:b/>
          <w:sz w:val="28"/>
          <w:szCs w:val="28"/>
          <w:lang w:val="es-MX"/>
        </w:rPr>
        <w:t>INFORMACIÓN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57"/>
          <w:footerReference w:type="default" r:id="rId158"/>
          <w:pgSz w:w="12240" w:h="15840"/>
          <w:pgMar w:top="1417" w:right="1701" w:bottom="1417" w:left="1701" w:header="708" w:footer="708" w:gutter="0"/>
          <w:cols w:space="708"/>
          <w:vAlign w:val="both"/>
          <w:docGrid w:linePitch="360"/>
        </w:sectPr>
      </w:pPr>
    </w:p>
    <w:p w:rsidR="00852557" w:rsidRDefault="00F153EA" w:rsidP="00AE57B8">
      <w:pPr>
        <w:jc w:val="center"/>
        <w:rPr>
          <w:color w:val="FF0000"/>
        </w:rPr>
      </w:pPr>
      <w:r w:rsidRPr="00F153EA">
        <w:rPr>
          <w:noProof/>
          <w:lang w:val="es-PE" w:eastAsia="es-PE"/>
        </w:rPr>
        <w:lastRenderedPageBreak/>
        <w:pict>
          <v:shape id="_x0000_s1164" type="#_x0000_t202" style="position:absolute;left:0;text-align:left;margin-left:-15.05pt;margin-top:-31pt;width:66.45pt;height:20.2pt;z-index:251657728;mso-width-relative:margin;mso-height-relative:margin" stroked="f">
            <v:textbox style="mso-next-textbox:#_x0000_s1164">
              <w:txbxContent>
                <w:p w:rsidR="00DB21F1" w:rsidRDefault="00DB21F1">
                  <w:pPr>
                    <w:rPr>
                      <w:b/>
                      <w:sz w:val="20"/>
                      <w:szCs w:val="20"/>
                    </w:rPr>
                  </w:pPr>
                  <w:r w:rsidRPr="003B7B43">
                    <w:rPr>
                      <w:b/>
                      <w:sz w:val="20"/>
                      <w:szCs w:val="20"/>
                    </w:rPr>
                    <w:t>ANEXO 1</w:t>
                  </w:r>
                </w:p>
              </w:txbxContent>
            </v:textbox>
          </v:shape>
        </w:pict>
      </w:r>
      <w:r w:rsidR="00DB21F1" w:rsidRPr="00DB21F1">
        <w:rPr>
          <w:noProof/>
          <w:lang w:val="es-PE" w:eastAsia="es-PE"/>
        </w:rPr>
        <w:drawing>
          <wp:inline distT="0" distB="0" distL="0" distR="0">
            <wp:extent cx="7521253" cy="6416194"/>
            <wp:effectExtent l="19050" t="0" r="3497" b="0"/>
            <wp:docPr id="6"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9" cstate="print"/>
                    <a:srcRect/>
                    <a:stretch>
                      <a:fillRect/>
                    </a:stretch>
                  </pic:blipFill>
                  <pic:spPr bwMode="auto">
                    <a:xfrm>
                      <a:off x="0" y="0"/>
                      <a:ext cx="7520675" cy="6415701"/>
                    </a:xfrm>
                    <a:prstGeom prst="rect">
                      <a:avLst/>
                    </a:prstGeom>
                    <a:noFill/>
                    <a:ln w="9525">
                      <a:noFill/>
                      <a:miter lim="800000"/>
                      <a:headEnd/>
                      <a:tailEnd/>
                    </a:ln>
                  </pic:spPr>
                </pic:pic>
              </a:graphicData>
            </a:graphic>
          </wp:inline>
        </w:drawing>
      </w:r>
    </w:p>
    <w:p w:rsidR="002873D0" w:rsidRDefault="002873D0">
      <w:pPr>
        <w:rPr>
          <w:color w:val="FF0000"/>
        </w:rPr>
      </w:pPr>
    </w:p>
    <w:p w:rsidR="00852557" w:rsidRDefault="00F153EA">
      <w:pPr>
        <w:rPr>
          <w:color w:val="FF0000"/>
        </w:rPr>
      </w:pPr>
      <w:r>
        <w:rPr>
          <w:noProof/>
          <w:color w:val="FF0000"/>
          <w:lang w:val="es-PE" w:eastAsia="es-PE"/>
        </w:rPr>
        <w:pict>
          <v:shape id="_x0000_s1152" type="#_x0000_t202" style="position:absolute;left:0;text-align:left;margin-left:21.7pt;margin-top:1.65pt;width:66.45pt;height:24.2pt;z-index:251645440;mso-width-relative:margin;mso-height-relative:margin" stroked="f">
            <v:textbox style="mso-next-textbox:#_x0000_s1152">
              <w:txbxContent>
                <w:p w:rsidR="00DB21F1" w:rsidRDefault="00DB21F1">
                  <w:pPr>
                    <w:rPr>
                      <w:b/>
                      <w:sz w:val="20"/>
                      <w:szCs w:val="20"/>
                    </w:rPr>
                  </w:pPr>
                  <w:r w:rsidRPr="0008391D">
                    <w:rPr>
                      <w:b/>
                      <w:sz w:val="20"/>
                      <w:szCs w:val="20"/>
                    </w:rPr>
                    <w:t>ANEXO 2</w:t>
                  </w:r>
                </w:p>
              </w:txbxContent>
            </v:textbox>
          </v:shape>
        </w:pict>
      </w:r>
    </w:p>
    <w:p w:rsidR="00852557" w:rsidRDefault="00852557">
      <w:pPr>
        <w:rPr>
          <w:color w:val="FF0000"/>
        </w:rPr>
      </w:pPr>
    </w:p>
    <w:p w:rsidR="00852557" w:rsidRDefault="00DB21F1" w:rsidP="00702B4E">
      <w:pPr>
        <w:jc w:val="center"/>
        <w:rPr>
          <w:color w:val="FF0000"/>
        </w:rPr>
      </w:pPr>
      <w:r w:rsidRPr="00DB21F1">
        <w:rPr>
          <w:noProof/>
          <w:lang w:val="es-PE" w:eastAsia="es-PE"/>
        </w:rPr>
        <w:drawing>
          <wp:inline distT="0" distB="0" distL="0" distR="0">
            <wp:extent cx="8257540" cy="3423632"/>
            <wp:effectExtent l="19050" t="0" r="0" b="0"/>
            <wp:docPr id="7"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0" cstate="print"/>
                    <a:srcRect/>
                    <a:stretch>
                      <a:fillRect/>
                    </a:stretch>
                  </pic:blipFill>
                  <pic:spPr bwMode="auto">
                    <a:xfrm>
                      <a:off x="0" y="0"/>
                      <a:ext cx="8257540" cy="3423632"/>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08391D" w:rsidRDefault="0008391D">
      <w:pPr>
        <w:rPr>
          <w:color w:val="FF0000"/>
        </w:rPr>
      </w:pPr>
    </w:p>
    <w:p w:rsidR="0008391D" w:rsidRDefault="0008391D">
      <w:pPr>
        <w:rPr>
          <w:color w:val="FF0000"/>
        </w:rPr>
      </w:pPr>
    </w:p>
    <w:p w:rsidR="0008391D" w:rsidRDefault="0008391D">
      <w:pPr>
        <w:rPr>
          <w:color w:val="FF0000"/>
        </w:rPr>
      </w:pPr>
    </w:p>
    <w:p w:rsidR="00A352FA" w:rsidRDefault="00A352FA">
      <w:pPr>
        <w:rPr>
          <w:color w:val="FF0000"/>
        </w:rPr>
      </w:pPr>
    </w:p>
    <w:p w:rsidR="00852557" w:rsidRDefault="00F153EA">
      <w:pPr>
        <w:rPr>
          <w:color w:val="FF0000"/>
          <w:lang w:val="es-MX"/>
        </w:rPr>
      </w:pPr>
      <w:r>
        <w:rPr>
          <w:noProof/>
          <w:color w:val="FF0000"/>
          <w:lang w:val="es-PE" w:eastAsia="es-PE"/>
        </w:rPr>
        <w:pict>
          <v:shape id="_x0000_s1153" type="#_x0000_t202" style="position:absolute;left:0;text-align:left;margin-left:16.9pt;margin-top:-.95pt;width:84.05pt;height:19.45pt;z-index:251646464;mso-width-relative:margin;mso-height-relative:margin" stroked="f">
            <v:textbox style="mso-next-textbox:#_x0000_s1153">
              <w:txbxContent>
                <w:p w:rsidR="00DB21F1" w:rsidRDefault="00DB21F1">
                  <w:pPr>
                    <w:rPr>
                      <w:b/>
                      <w:sz w:val="20"/>
                      <w:szCs w:val="20"/>
                    </w:rPr>
                  </w:pPr>
                  <w:r w:rsidRPr="003B7B43">
                    <w:rPr>
                      <w:b/>
                      <w:sz w:val="20"/>
                      <w:szCs w:val="20"/>
                    </w:rPr>
                    <w:t>ANEXO 3</w:t>
                  </w:r>
                </w:p>
              </w:txbxContent>
            </v:textbox>
          </v:shape>
        </w:pict>
      </w:r>
    </w:p>
    <w:p w:rsidR="00852557" w:rsidRDefault="00852557">
      <w:pPr>
        <w:rPr>
          <w:color w:val="FF0000"/>
          <w:lang w:val="es-MX"/>
        </w:rPr>
      </w:pPr>
    </w:p>
    <w:p w:rsidR="00852557" w:rsidRDefault="00852557">
      <w:pPr>
        <w:rPr>
          <w:color w:val="FF0000"/>
          <w:lang w:val="es-MX"/>
        </w:rPr>
      </w:pPr>
    </w:p>
    <w:p w:rsidR="00852557" w:rsidRDefault="00DB21F1" w:rsidP="00DB21F1">
      <w:pPr>
        <w:ind w:left="-170"/>
        <w:jc w:val="center"/>
        <w:rPr>
          <w:color w:val="FF0000"/>
        </w:rPr>
        <w:sectPr w:rsidR="00852557">
          <w:headerReference w:type="default" r:id="rId161"/>
          <w:footerReference w:type="default" r:id="rId162"/>
          <w:type w:val="continuous"/>
          <w:pgSz w:w="15840" w:h="12240" w:orient="landscape"/>
          <w:pgMar w:top="1701" w:right="1418" w:bottom="1701" w:left="1418" w:header="709" w:footer="709" w:gutter="0"/>
          <w:cols w:space="708"/>
          <w:vAlign w:val="both"/>
          <w:docGrid w:linePitch="360"/>
        </w:sectPr>
      </w:pPr>
      <w:r w:rsidRPr="00DB21F1">
        <w:rPr>
          <w:noProof/>
          <w:lang w:val="es-PE" w:eastAsia="es-PE"/>
        </w:rPr>
        <w:drawing>
          <wp:inline distT="0" distB="0" distL="0" distR="0">
            <wp:extent cx="8528765" cy="4419600"/>
            <wp:effectExtent l="19050" t="0" r="563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3" cstate="print"/>
                    <a:srcRect/>
                    <a:stretch>
                      <a:fillRect/>
                    </a:stretch>
                  </pic:blipFill>
                  <pic:spPr bwMode="auto">
                    <a:xfrm>
                      <a:off x="0" y="0"/>
                      <a:ext cx="8533404" cy="4422004"/>
                    </a:xfrm>
                    <a:prstGeom prst="rect">
                      <a:avLst/>
                    </a:prstGeom>
                    <a:noFill/>
                    <a:ln w="9525">
                      <a:noFill/>
                      <a:miter lim="800000"/>
                      <a:headEnd/>
                      <a:tailEnd/>
                    </a:ln>
                  </pic:spPr>
                </pic:pic>
              </a:graphicData>
            </a:graphic>
          </wp:inline>
        </w:drawing>
      </w:r>
    </w:p>
    <w:p w:rsidR="00852557" w:rsidRDefault="00F153EA">
      <w:pPr>
        <w:rPr>
          <w:color w:val="FF0000"/>
          <w:lang w:val="es-MX"/>
        </w:rPr>
      </w:pPr>
      <w:r w:rsidRPr="00F153EA">
        <w:rPr>
          <w:noProof/>
          <w:lang w:val="es-PE" w:eastAsia="es-PE"/>
        </w:rPr>
        <w:lastRenderedPageBreak/>
        <w:pict>
          <v:shape id="_x0000_s1165" type="#_x0000_t202" style="position:absolute;left:0;text-align:left;margin-left:13.15pt;margin-top:7.1pt;width:84.05pt;height:16.9pt;z-index:251658752;mso-width-relative:margin;mso-height-relative:margin" stroked="f">
            <v:textbox style="mso-next-textbox:#_x0000_s1165">
              <w:txbxContent>
                <w:p w:rsidR="00DB21F1" w:rsidRDefault="00DB21F1">
                  <w:pPr>
                    <w:rPr>
                      <w:b/>
                      <w:sz w:val="20"/>
                      <w:szCs w:val="20"/>
                    </w:rPr>
                  </w:pPr>
                  <w:r w:rsidRPr="00717519">
                    <w:rPr>
                      <w:b/>
                      <w:sz w:val="20"/>
                      <w:szCs w:val="20"/>
                    </w:rPr>
                    <w:t>ANEXO 4</w:t>
                  </w:r>
                </w:p>
              </w:txbxContent>
            </v:textbox>
          </v:shape>
        </w:pict>
      </w: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852557">
      <w:pPr>
        <w:rPr>
          <w:color w:val="FF0000"/>
        </w:rPr>
      </w:pPr>
    </w:p>
    <w:p w:rsidR="00852557" w:rsidRDefault="00852557">
      <w:pPr>
        <w:rPr>
          <w:color w:val="FF0000"/>
        </w:rPr>
      </w:pP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DB21F1">
      <w:pPr>
        <w:jc w:val="center"/>
      </w:pPr>
      <w:r w:rsidRPr="00DB21F1">
        <w:rPr>
          <w:noProof/>
          <w:lang w:val="es-PE" w:eastAsia="es-PE"/>
        </w:rPr>
        <w:lastRenderedPageBreak/>
        <w:drawing>
          <wp:inline distT="0" distB="0" distL="0" distR="0">
            <wp:extent cx="8257540" cy="4439813"/>
            <wp:effectExtent l="19050" t="0" r="0" b="0"/>
            <wp:docPr id="9"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4" cstate="print"/>
                    <a:srcRect/>
                    <a:stretch>
                      <a:fillRect/>
                    </a:stretch>
                  </pic:blipFill>
                  <pic:spPr bwMode="auto">
                    <a:xfrm>
                      <a:off x="0" y="0"/>
                      <a:ext cx="8257540" cy="4439813"/>
                    </a:xfrm>
                    <a:prstGeom prst="rect">
                      <a:avLst/>
                    </a:prstGeom>
                    <a:noFill/>
                    <a:ln w="9525">
                      <a:noFill/>
                      <a:miter lim="800000"/>
                      <a:headEnd/>
                      <a:tailEnd/>
                    </a:ln>
                  </pic:spPr>
                </pic:pic>
              </a:graphicData>
            </a:graphic>
          </wp:inline>
        </w:drawing>
      </w: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852557" w:rsidRDefault="00852557">
      <w:pPr>
        <w:rPr>
          <w:color w:val="FF0000"/>
        </w:rPr>
      </w:pPr>
    </w:p>
    <w:p w:rsidR="00D17F45" w:rsidRDefault="00D17F45">
      <w:pPr>
        <w:rPr>
          <w:color w:val="FF0000"/>
        </w:rPr>
      </w:pPr>
    </w:p>
    <w:p w:rsidR="00D17F45" w:rsidRDefault="00D17F45">
      <w:pPr>
        <w:rPr>
          <w:color w:val="FF0000"/>
        </w:rPr>
      </w:pPr>
    </w:p>
    <w:p w:rsidR="00DD1094" w:rsidRDefault="00DD1094">
      <w:pPr>
        <w:rPr>
          <w:color w:val="FF0000"/>
        </w:rPr>
      </w:pPr>
    </w:p>
    <w:p w:rsidR="00DD1094" w:rsidRDefault="00F153EA">
      <w:pPr>
        <w:rPr>
          <w:color w:val="FF0000"/>
        </w:rPr>
      </w:pPr>
      <w:r>
        <w:rPr>
          <w:noProof/>
          <w:color w:val="FF0000"/>
          <w:lang w:val="es-PE" w:eastAsia="es-PE"/>
        </w:rPr>
        <w:pict>
          <v:shape id="_x0000_s1154" type="#_x0000_t202" style="position:absolute;left:0;text-align:left;margin-left:15.45pt;margin-top:18.35pt;width:84.05pt;height:16.9pt;z-index:251647488;mso-width-relative:margin;mso-height-relative:margin" stroked="f">
            <v:textbox style="mso-next-textbox:#_x0000_s1154">
              <w:txbxContent>
                <w:p w:rsidR="00DB21F1" w:rsidRDefault="00DB21F1">
                  <w:pPr>
                    <w:rPr>
                      <w:b/>
                      <w:sz w:val="20"/>
                      <w:szCs w:val="20"/>
                    </w:rPr>
                  </w:pPr>
                  <w:r w:rsidRPr="00717519">
                    <w:rPr>
                      <w:b/>
                      <w:sz w:val="20"/>
                      <w:szCs w:val="20"/>
                    </w:rPr>
                    <w:t>ANEXO 5</w:t>
                  </w:r>
                </w:p>
              </w:txbxContent>
            </v:textbox>
          </v:shape>
        </w:pict>
      </w:r>
    </w:p>
    <w:p w:rsidR="0008391D" w:rsidRDefault="0008391D">
      <w:pPr>
        <w:rPr>
          <w:color w:val="FF0000"/>
        </w:rPr>
      </w:pPr>
    </w:p>
    <w:p w:rsidR="00DD1094" w:rsidRDefault="00DD1094">
      <w:pPr>
        <w:rPr>
          <w:color w:val="FF0000"/>
        </w:rPr>
      </w:pP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DB21F1">
      <w:pPr>
        <w:rPr>
          <w:color w:val="FF0000"/>
          <w:lang w:val="es-MX"/>
        </w:rPr>
      </w:pPr>
      <w:r w:rsidRPr="00DB21F1">
        <w:rPr>
          <w:noProof/>
          <w:lang w:val="es-PE" w:eastAsia="es-PE"/>
        </w:rPr>
        <w:lastRenderedPageBreak/>
        <w:drawing>
          <wp:inline distT="0" distB="0" distL="0" distR="0">
            <wp:extent cx="8257540" cy="4404021"/>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5" cstate="print"/>
                    <a:srcRect/>
                    <a:stretch>
                      <a:fillRect/>
                    </a:stretch>
                  </pic:blipFill>
                  <pic:spPr bwMode="auto">
                    <a:xfrm>
                      <a:off x="0" y="0"/>
                      <a:ext cx="8257540" cy="4404021"/>
                    </a:xfrm>
                    <a:prstGeom prst="rect">
                      <a:avLst/>
                    </a:prstGeom>
                    <a:noFill/>
                    <a:ln w="9525">
                      <a:noFill/>
                      <a:miter lim="800000"/>
                      <a:headEnd/>
                      <a:tailEnd/>
                    </a:ln>
                  </pic:spPr>
                </pic:pic>
              </a:graphicData>
            </a:graphic>
          </wp:inline>
        </w:drawing>
      </w:r>
    </w:p>
    <w:p w:rsidR="00852557" w:rsidRDefault="00852557">
      <w:pPr>
        <w:rPr>
          <w:color w:val="FF0000"/>
          <w:lang w:val="es-MX"/>
        </w:rPr>
      </w:pPr>
    </w:p>
    <w:p w:rsidR="00735C2D" w:rsidRDefault="00902385" w:rsidP="00735C2D">
      <w:pPr>
        <w:jc w:val="left"/>
        <w:rPr>
          <w:b/>
          <w:sz w:val="20"/>
          <w:szCs w:val="20"/>
        </w:rPr>
      </w:pPr>
      <w:r>
        <w:rPr>
          <w:color w:val="FF0000"/>
          <w:lang w:val="es-MX"/>
        </w:rPr>
        <w:br w:type="page"/>
      </w:r>
      <w:r w:rsidR="00F153EA" w:rsidRPr="00F153EA">
        <w:rPr>
          <w:noProof/>
          <w:color w:val="FF0000"/>
          <w:lang w:val="es-PE" w:eastAsia="es-PE"/>
        </w:rPr>
        <w:lastRenderedPageBreak/>
        <w:pict>
          <v:shape id="_x0000_s1155" type="#_x0000_t202" style="position:absolute;margin-left:115.6pt;margin-top:-51.45pt;width:102.45pt;height:18.45pt;z-index:251648512;mso-width-relative:margin;mso-height-relative:margin" stroked="f">
            <v:textbox style="mso-next-textbox:#_x0000_s1155">
              <w:txbxContent>
                <w:p w:rsidR="00DB21F1" w:rsidRPr="00870851" w:rsidRDefault="00DB21F1" w:rsidP="00870851">
                  <w:pPr>
                    <w:rPr>
                      <w:szCs w:val="20"/>
                    </w:rPr>
                  </w:pPr>
                </w:p>
              </w:txbxContent>
            </v:textbox>
          </v:shape>
        </w:pict>
      </w:r>
      <w:r w:rsidR="000D3447" w:rsidRPr="00F91DBB">
        <w:rPr>
          <w:b/>
          <w:sz w:val="20"/>
          <w:szCs w:val="20"/>
        </w:rPr>
        <w:t>ANEXO 6</w:t>
      </w:r>
    </w:p>
    <w:p w:rsidR="000D3447" w:rsidRDefault="00735C2D" w:rsidP="00735C2D">
      <w:pPr>
        <w:jc w:val="center"/>
        <w:rPr>
          <w:b/>
          <w:sz w:val="20"/>
          <w:szCs w:val="20"/>
        </w:rPr>
      </w:pPr>
      <w:r w:rsidRPr="00735C2D">
        <w:rPr>
          <w:noProof/>
          <w:szCs w:val="20"/>
          <w:lang w:val="es-PE" w:eastAsia="es-PE"/>
        </w:rPr>
        <w:drawing>
          <wp:inline distT="0" distB="0" distL="0" distR="0">
            <wp:extent cx="4777414" cy="5734050"/>
            <wp:effectExtent l="19050" t="0" r="4136" b="0"/>
            <wp:docPr id="8"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6" cstate="print"/>
                    <a:srcRect/>
                    <a:stretch>
                      <a:fillRect/>
                    </a:stretch>
                  </pic:blipFill>
                  <pic:spPr bwMode="auto">
                    <a:xfrm>
                      <a:off x="0" y="0"/>
                      <a:ext cx="4779249" cy="5736252"/>
                    </a:xfrm>
                    <a:prstGeom prst="rect">
                      <a:avLst/>
                    </a:prstGeom>
                    <a:noFill/>
                    <a:ln w="9525">
                      <a:noFill/>
                      <a:miter lim="800000"/>
                      <a:headEnd/>
                      <a:tailEnd/>
                    </a:ln>
                  </pic:spPr>
                </pic:pic>
              </a:graphicData>
            </a:graphic>
          </wp:inline>
        </w:drawing>
      </w:r>
    </w:p>
    <w:p w:rsidR="00852557" w:rsidRPr="00031C43" w:rsidRDefault="00735C2D">
      <w:pPr>
        <w:rPr>
          <w:b/>
          <w:sz w:val="20"/>
          <w:szCs w:val="20"/>
          <w:lang w:val="es-MX"/>
        </w:rPr>
      </w:pPr>
      <w:r w:rsidRPr="007E0B4C">
        <w:rPr>
          <w:b/>
          <w:color w:val="FF0000"/>
          <w:lang w:val="es-MX"/>
        </w:rPr>
        <w:lastRenderedPageBreak/>
        <w:t xml:space="preserve"> </w:t>
      </w:r>
      <w:r w:rsidR="00C10E5E">
        <w:rPr>
          <w:b/>
          <w:color w:val="FF0000"/>
          <w:lang w:val="es-MX"/>
        </w:rPr>
        <w:t xml:space="preserve">                                                             </w:t>
      </w:r>
      <w:r w:rsidRPr="00031C43">
        <w:rPr>
          <w:b/>
          <w:sz w:val="20"/>
          <w:szCs w:val="20"/>
          <w:lang w:val="es-MX"/>
        </w:rPr>
        <w:t>ANEXO 7</w:t>
      </w:r>
    </w:p>
    <w:p w:rsidR="00852557" w:rsidRDefault="00852557">
      <w:pPr>
        <w:rPr>
          <w:color w:val="FF0000"/>
          <w:lang w:val="es-MX"/>
        </w:rPr>
      </w:pPr>
    </w:p>
    <w:p w:rsidR="00852557" w:rsidRDefault="00852557">
      <w:pPr>
        <w:jc w:val="center"/>
      </w:pPr>
    </w:p>
    <w:p w:rsidR="00852557" w:rsidRDefault="00C10E5E">
      <w:pPr>
        <w:jc w:val="center"/>
      </w:pPr>
      <w:r w:rsidRPr="00C10E5E">
        <w:rPr>
          <w:noProof/>
          <w:lang w:val="es-PE" w:eastAsia="es-PE"/>
        </w:rPr>
        <w:drawing>
          <wp:inline distT="0" distB="0" distL="0" distR="0">
            <wp:extent cx="3514725" cy="2886075"/>
            <wp:effectExtent l="19050" t="0" r="952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7" cstate="print"/>
                    <a:srcRect/>
                    <a:stretch>
                      <a:fillRect/>
                    </a:stretch>
                  </pic:blipFill>
                  <pic:spPr bwMode="auto">
                    <a:xfrm>
                      <a:off x="0" y="0"/>
                      <a:ext cx="3514725" cy="2886075"/>
                    </a:xfrm>
                    <a:prstGeom prst="rect">
                      <a:avLst/>
                    </a:prstGeom>
                    <a:noFill/>
                    <a:ln w="9525">
                      <a:noFill/>
                      <a:miter lim="800000"/>
                      <a:headEnd/>
                      <a:tailEnd/>
                    </a:ln>
                  </pic:spPr>
                </pic:pic>
              </a:graphicData>
            </a:graphic>
          </wp:inline>
        </w:drawing>
      </w: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365C4D" w:rsidRDefault="00365C4D">
      <w:pPr>
        <w:jc w:val="center"/>
      </w:pPr>
    </w:p>
    <w:p w:rsidR="00735C2D" w:rsidRDefault="00735C2D">
      <w:pPr>
        <w:jc w:val="center"/>
      </w:pPr>
    </w:p>
    <w:p w:rsidR="00C10E5E" w:rsidRDefault="00C10E5E">
      <w:pPr>
        <w:jc w:val="center"/>
      </w:pPr>
    </w:p>
    <w:p w:rsidR="00C10E5E" w:rsidRDefault="00C10E5E">
      <w:pPr>
        <w:jc w:val="center"/>
      </w:pPr>
    </w:p>
    <w:p w:rsidR="00C10E5E" w:rsidRDefault="00C10E5E">
      <w:pPr>
        <w:jc w:val="center"/>
      </w:pPr>
    </w:p>
    <w:p w:rsidR="00C10E5E" w:rsidRDefault="00C10E5E">
      <w:pPr>
        <w:jc w:val="center"/>
      </w:pPr>
    </w:p>
    <w:p w:rsidR="00C10E5E" w:rsidRDefault="00C10E5E">
      <w:pPr>
        <w:jc w:val="center"/>
      </w:pPr>
    </w:p>
    <w:p w:rsidR="00C10E5E" w:rsidRDefault="00C10E5E">
      <w:pPr>
        <w:jc w:val="center"/>
      </w:pPr>
    </w:p>
    <w:p w:rsidR="00365C4D" w:rsidRDefault="00365C4D">
      <w:pPr>
        <w:jc w:val="center"/>
      </w:pPr>
    </w:p>
    <w:p w:rsidR="00B74DED" w:rsidRDefault="00F153EA" w:rsidP="00A46E5A">
      <w:pPr>
        <w:jc w:val="center"/>
        <w:rPr>
          <w:color w:val="FF0000"/>
        </w:rPr>
      </w:pPr>
      <w:r>
        <w:rPr>
          <w:noProof/>
          <w:color w:val="FF0000"/>
          <w:lang w:val="es-PE" w:eastAsia="es-PE"/>
        </w:rPr>
        <w:lastRenderedPageBreak/>
        <w:pict>
          <v:shape id="_x0000_s1157" type="#_x0000_t202" style="position:absolute;left:0;text-align:left;margin-left:-3.35pt;margin-top:-.6pt;width:60.4pt;height:25.55pt;z-index:251650560;mso-width-relative:margin;mso-height-relative:margin" stroked="f">
            <v:textbox style="mso-next-textbox:#_x0000_s1157">
              <w:txbxContent>
                <w:p w:rsidR="00DB21F1" w:rsidRDefault="00DB21F1">
                  <w:pPr>
                    <w:rPr>
                      <w:b/>
                      <w:sz w:val="20"/>
                      <w:szCs w:val="16"/>
                    </w:rPr>
                  </w:pPr>
                  <w:r w:rsidRPr="006353B2">
                    <w:rPr>
                      <w:b/>
                      <w:sz w:val="20"/>
                      <w:szCs w:val="16"/>
                    </w:rPr>
                    <w:t>ANEXO 8</w:t>
                  </w:r>
                  <w:r>
                    <w:rPr>
                      <w:b/>
                      <w:sz w:val="20"/>
                      <w:szCs w:val="16"/>
                    </w:rPr>
                    <w:t xml:space="preserve">                                            </w:t>
                  </w:r>
                </w:p>
              </w:txbxContent>
            </v:textbox>
          </v:shape>
        </w:pict>
      </w:r>
    </w:p>
    <w:p w:rsidR="00852557" w:rsidRDefault="00852557" w:rsidP="00A46E5A">
      <w:pPr>
        <w:jc w:val="cente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B74DED">
      <w:pPr>
        <w:jc w:val="center"/>
        <w:rPr>
          <w:color w:val="FF0000"/>
        </w:rPr>
      </w:pPr>
    </w:p>
    <w:p w:rsidR="00B74DED" w:rsidRDefault="004565F2" w:rsidP="004565F2">
      <w:pPr>
        <w:ind w:left="-283"/>
        <w:jc w:val="center"/>
        <w:rPr>
          <w:color w:val="FF0000"/>
        </w:rPr>
      </w:pPr>
      <w:r w:rsidRPr="004565F2">
        <w:rPr>
          <w:noProof/>
          <w:lang w:val="es-PE" w:eastAsia="es-PE"/>
        </w:rPr>
        <w:drawing>
          <wp:inline distT="0" distB="0" distL="0" distR="0">
            <wp:extent cx="8629650" cy="4364231"/>
            <wp:effectExtent l="19050" t="0" r="0" b="0"/>
            <wp:docPr id="10"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8" cstate="print"/>
                    <a:srcRect/>
                    <a:stretch>
                      <a:fillRect/>
                    </a:stretch>
                  </pic:blipFill>
                  <pic:spPr bwMode="auto">
                    <a:xfrm>
                      <a:off x="0" y="0"/>
                      <a:ext cx="8638123" cy="4368516"/>
                    </a:xfrm>
                    <a:prstGeom prst="rect">
                      <a:avLst/>
                    </a:prstGeom>
                    <a:noFill/>
                    <a:ln w="9525">
                      <a:noFill/>
                      <a:miter lim="800000"/>
                      <a:headEnd/>
                      <a:tailEnd/>
                    </a:ln>
                  </pic:spPr>
                </pic:pic>
              </a:graphicData>
            </a:graphic>
          </wp:inline>
        </w:drawing>
      </w:r>
    </w:p>
    <w:p w:rsidR="00B74DED" w:rsidRDefault="00B74DED">
      <w:pPr>
        <w:jc w:val="center"/>
        <w:rPr>
          <w:color w:val="FF0000"/>
        </w:rPr>
      </w:pPr>
    </w:p>
    <w:p w:rsidR="00B74DED" w:rsidRDefault="00B74DED">
      <w:pPr>
        <w:jc w:val="center"/>
        <w:rPr>
          <w:color w:val="FF0000"/>
        </w:rPr>
      </w:pPr>
    </w:p>
    <w:p w:rsidR="00034490" w:rsidRDefault="00034490">
      <w:pPr>
        <w:jc w:val="center"/>
        <w:rPr>
          <w:color w:val="FF0000"/>
        </w:rPr>
      </w:pPr>
    </w:p>
    <w:p w:rsidR="00034490" w:rsidRDefault="00034490">
      <w:pPr>
        <w:jc w:val="center"/>
        <w:rPr>
          <w:color w:val="FF0000"/>
        </w:rPr>
      </w:pPr>
    </w:p>
    <w:p w:rsidR="00852557" w:rsidRDefault="00F153EA" w:rsidP="00E33D2F">
      <w:pPr>
        <w:rPr>
          <w:color w:val="FF0000"/>
          <w:lang w:val="es-MX"/>
        </w:rPr>
      </w:pPr>
      <w:r>
        <w:rPr>
          <w:noProof/>
          <w:color w:val="FF0000"/>
          <w:lang w:val="es-PE" w:eastAsia="es-PE"/>
        </w:rPr>
        <w:lastRenderedPageBreak/>
        <w:pict>
          <v:shape id="_x0000_s1158" type="#_x0000_t202" style="position:absolute;left:0;text-align:left;margin-left:5.35pt;margin-top:-22.4pt;width:65.85pt;height:34.6pt;z-index:251651584;mso-width-relative:margin;mso-height-relative:margin" stroked="f">
            <v:textbox style="mso-next-textbox:#_x0000_s1158">
              <w:txbxContent>
                <w:p w:rsidR="00DB21F1" w:rsidRDefault="00DB21F1">
                  <w:pPr>
                    <w:rPr>
                      <w:b/>
                      <w:sz w:val="20"/>
                      <w:szCs w:val="20"/>
                    </w:rPr>
                  </w:pPr>
                  <w:r w:rsidRPr="003B7B43">
                    <w:rPr>
                      <w:b/>
                      <w:sz w:val="20"/>
                      <w:szCs w:val="20"/>
                    </w:rPr>
                    <w:t>ANEXO 9</w:t>
                  </w:r>
                </w:p>
              </w:txbxContent>
            </v:textbox>
          </v:shape>
        </w:pict>
      </w:r>
      <w:r w:rsidR="00034490" w:rsidRPr="00034490">
        <w:rPr>
          <w:color w:val="FF0000"/>
          <w:lang w:val="es-MX"/>
        </w:rPr>
        <w:t xml:space="preserve"> </w:t>
      </w:r>
      <w:r w:rsidR="004565F2" w:rsidRPr="004565F2">
        <w:rPr>
          <w:noProof/>
          <w:lang w:val="es-PE" w:eastAsia="es-PE"/>
        </w:rPr>
        <w:drawing>
          <wp:inline distT="0" distB="0" distL="0" distR="0">
            <wp:extent cx="8257540" cy="5397484"/>
            <wp:effectExtent l="19050" t="0" r="0" b="0"/>
            <wp:docPr id="11"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9" cstate="print"/>
                    <a:srcRect/>
                    <a:stretch>
                      <a:fillRect/>
                    </a:stretch>
                  </pic:blipFill>
                  <pic:spPr bwMode="auto">
                    <a:xfrm>
                      <a:off x="0" y="0"/>
                      <a:ext cx="8257540" cy="5397484"/>
                    </a:xfrm>
                    <a:prstGeom prst="rect">
                      <a:avLst/>
                    </a:prstGeom>
                    <a:noFill/>
                    <a:ln w="9525">
                      <a:noFill/>
                      <a:miter lim="800000"/>
                      <a:headEnd/>
                      <a:tailEnd/>
                    </a:ln>
                  </pic:spPr>
                </pic:pic>
              </a:graphicData>
            </a:graphic>
          </wp:inline>
        </w:drawing>
      </w:r>
    </w:p>
    <w:p w:rsidR="00852557" w:rsidRDefault="00F153EA">
      <w:pPr>
        <w:jc w:val="center"/>
        <w:sectPr w:rsidR="00852557">
          <w:type w:val="continuous"/>
          <w:pgSz w:w="15840" w:h="12240" w:orient="landscape"/>
          <w:pgMar w:top="1701" w:right="1418" w:bottom="1701" w:left="1418" w:header="709" w:footer="709" w:gutter="0"/>
          <w:cols w:space="708"/>
          <w:vAlign w:val="both"/>
          <w:docGrid w:linePitch="360"/>
        </w:sectPr>
      </w:pPr>
      <w:r>
        <w:rPr>
          <w:noProof/>
          <w:lang w:val="es-PE" w:eastAsia="es-PE"/>
        </w:rPr>
        <w:lastRenderedPageBreak/>
        <w:pict>
          <v:shape id="_x0000_s1167" type="#_x0000_t202" style="position:absolute;left:0;text-align:left;margin-left:2.6pt;margin-top:-32.35pt;width:69.5pt;height:21.95pt;z-index:251660800;mso-width-relative:margin;mso-height-relative:margin" stroked="f">
            <v:textbox style="mso-next-textbox:#_x0000_s1167">
              <w:txbxContent>
                <w:p w:rsidR="00DB21F1" w:rsidRDefault="00DB21F1">
                  <w:pPr>
                    <w:rPr>
                      <w:b/>
                      <w:sz w:val="20"/>
                      <w:szCs w:val="16"/>
                    </w:rPr>
                  </w:pPr>
                  <w:r w:rsidRPr="003B7B43">
                    <w:rPr>
                      <w:b/>
                      <w:sz w:val="20"/>
                      <w:szCs w:val="16"/>
                    </w:rPr>
                    <w:t>ANEXO 10</w:t>
                  </w:r>
                  <w:r>
                    <w:rPr>
                      <w:b/>
                      <w:sz w:val="20"/>
                      <w:szCs w:val="16"/>
                    </w:rPr>
                    <w:t xml:space="preserve">                                              </w:t>
                  </w:r>
                </w:p>
                <w:p w:rsidR="00DB21F1" w:rsidRDefault="00DB21F1">
                  <w:pPr>
                    <w:rPr>
                      <w:b/>
                      <w:szCs w:val="20"/>
                    </w:rPr>
                  </w:pPr>
                </w:p>
                <w:p w:rsidR="00DB21F1" w:rsidRDefault="00DB21F1">
                  <w:pPr>
                    <w:rPr>
                      <w:b/>
                      <w:szCs w:val="20"/>
                    </w:rPr>
                  </w:pPr>
                </w:p>
              </w:txbxContent>
            </v:textbox>
          </v:shape>
        </w:pict>
      </w:r>
      <w:r w:rsidR="004565F2" w:rsidRPr="004565F2">
        <w:rPr>
          <w:noProof/>
          <w:lang w:val="es-PE" w:eastAsia="es-PE"/>
        </w:rPr>
        <w:drawing>
          <wp:inline distT="0" distB="0" distL="0" distR="0">
            <wp:extent cx="7684091" cy="6541253"/>
            <wp:effectExtent l="1905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0" cstate="print"/>
                    <a:srcRect/>
                    <a:stretch>
                      <a:fillRect/>
                    </a:stretch>
                  </pic:blipFill>
                  <pic:spPr bwMode="auto">
                    <a:xfrm>
                      <a:off x="0" y="0"/>
                      <a:ext cx="7686843" cy="6543596"/>
                    </a:xfrm>
                    <a:prstGeom prst="rect">
                      <a:avLst/>
                    </a:prstGeom>
                    <a:noFill/>
                    <a:ln w="9525">
                      <a:noFill/>
                      <a:miter lim="800000"/>
                      <a:headEnd/>
                      <a:tailEnd/>
                    </a:ln>
                  </pic:spPr>
                </pic:pic>
              </a:graphicData>
            </a:graphic>
          </wp:inline>
        </w:drawing>
      </w:r>
    </w:p>
    <w:p w:rsidR="006940B1" w:rsidRDefault="004565F2" w:rsidP="00C403A1">
      <w:r w:rsidRPr="004565F2">
        <w:rPr>
          <w:noProof/>
          <w:lang w:val="es-PE" w:eastAsia="es-PE"/>
        </w:rPr>
        <w:lastRenderedPageBreak/>
        <w:drawing>
          <wp:inline distT="0" distB="0" distL="0" distR="0">
            <wp:extent cx="8258175" cy="6607146"/>
            <wp:effectExtent l="19050" t="0" r="9525"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1" cstate="print"/>
                    <a:srcRect/>
                    <a:stretch>
                      <a:fillRect/>
                    </a:stretch>
                  </pic:blipFill>
                  <pic:spPr bwMode="auto">
                    <a:xfrm>
                      <a:off x="0" y="0"/>
                      <a:ext cx="8257540" cy="6606638"/>
                    </a:xfrm>
                    <a:prstGeom prst="rect">
                      <a:avLst/>
                    </a:prstGeom>
                    <a:noFill/>
                    <a:ln w="9525">
                      <a:noFill/>
                      <a:miter lim="800000"/>
                      <a:headEnd/>
                      <a:tailEnd/>
                    </a:ln>
                  </pic:spPr>
                </pic:pic>
              </a:graphicData>
            </a:graphic>
          </wp:inline>
        </w:drawing>
      </w:r>
      <w:r w:rsidR="00F153EA">
        <w:rPr>
          <w:noProof/>
          <w:lang w:val="es-PE" w:eastAsia="es-PE"/>
        </w:rPr>
        <w:pict>
          <v:shape id="_x0000_s1166" type="#_x0000_t202" style="position:absolute;left:0;text-align:left;margin-left:11.35pt;margin-top:-44.5pt;width:69.5pt;height:21.95pt;z-index:251659776;mso-position-horizontal-relative:text;mso-position-vertical-relative:text;mso-width-relative:margin;mso-height-relative:margin" stroked="f">
            <v:textbox style="mso-next-textbox:#_x0000_s1166">
              <w:txbxContent>
                <w:p w:rsidR="00DB21F1" w:rsidRDefault="00DB21F1">
                  <w:pPr>
                    <w:rPr>
                      <w:b/>
                      <w:sz w:val="20"/>
                      <w:szCs w:val="16"/>
                    </w:rPr>
                  </w:pPr>
                  <w:r w:rsidRPr="00534E39">
                    <w:rPr>
                      <w:b/>
                      <w:sz w:val="20"/>
                      <w:szCs w:val="16"/>
                    </w:rPr>
                    <w:t>ANEXO 11</w:t>
                  </w:r>
                  <w:r>
                    <w:rPr>
                      <w:b/>
                      <w:sz w:val="20"/>
                      <w:szCs w:val="16"/>
                    </w:rPr>
                    <w:t xml:space="preserve">                                               </w:t>
                  </w:r>
                </w:p>
                <w:p w:rsidR="00DB21F1" w:rsidRDefault="00DB21F1">
                  <w:pPr>
                    <w:rPr>
                      <w:b/>
                      <w:szCs w:val="20"/>
                    </w:rPr>
                  </w:pPr>
                </w:p>
                <w:p w:rsidR="00DB21F1" w:rsidRDefault="00DB21F1">
                  <w:pPr>
                    <w:rPr>
                      <w:b/>
                      <w:szCs w:val="20"/>
                    </w:rPr>
                  </w:pPr>
                </w:p>
              </w:txbxContent>
            </v:textbox>
          </v:shape>
        </w:pict>
      </w:r>
    </w:p>
    <w:p w:rsidR="006940B1" w:rsidRDefault="006940B1">
      <w:pPr>
        <w:jc w:val="center"/>
      </w:pPr>
    </w:p>
    <w:p w:rsidR="00852557" w:rsidRDefault="00F153EA">
      <w:pPr>
        <w:jc w:val="left"/>
      </w:pPr>
      <w:r w:rsidRPr="00F153EA">
        <w:rPr>
          <w:b/>
          <w:noProof/>
          <w:color w:val="FF0000"/>
          <w:lang w:val="es-PE" w:eastAsia="es-PE"/>
        </w:rPr>
        <w:pict>
          <v:shape id="_x0000_s1159" type="#_x0000_t202" style="position:absolute;margin-left:-1.15pt;margin-top:.1pt;width:82pt;height:17.55pt;z-index:251652608;mso-width-relative:margin;mso-height-relative:margin" stroked="f">
            <v:textbox style="mso-next-textbox:#_x0000_s1159">
              <w:txbxContent>
                <w:p w:rsidR="00DB21F1" w:rsidRDefault="00DB21F1">
                  <w:pPr>
                    <w:rPr>
                      <w:b/>
                      <w:sz w:val="20"/>
                      <w:szCs w:val="18"/>
                    </w:rPr>
                  </w:pPr>
                  <w:r w:rsidRPr="00F91DBB">
                    <w:rPr>
                      <w:b/>
                      <w:sz w:val="20"/>
                      <w:szCs w:val="18"/>
                    </w:rPr>
                    <w:t>ANEXO 12</w:t>
                  </w:r>
                  <w:r>
                    <w:rPr>
                      <w:b/>
                      <w:sz w:val="20"/>
                      <w:szCs w:val="18"/>
                    </w:rPr>
                    <w:t xml:space="preserve">                                                        </w:t>
                  </w:r>
                </w:p>
              </w:txbxContent>
            </v:textbox>
          </v:shape>
        </w:pict>
      </w:r>
    </w:p>
    <w:p w:rsidR="00852557" w:rsidRDefault="00852557">
      <w:pPr>
        <w:jc w:val="left"/>
      </w:pPr>
    </w:p>
    <w:p w:rsidR="00852557" w:rsidRPr="006940B1" w:rsidRDefault="00F91DBB" w:rsidP="006536D5">
      <w:pP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F91DBB">
        <w:rPr>
          <w:noProof/>
          <w:lang w:val="es-PE" w:eastAsia="es-PE"/>
        </w:rPr>
        <w:drawing>
          <wp:inline distT="0" distB="0" distL="0" distR="0">
            <wp:extent cx="8257540" cy="3367381"/>
            <wp:effectExtent l="1905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2" cstate="print"/>
                    <a:srcRect/>
                    <a:stretch>
                      <a:fillRect/>
                    </a:stretch>
                  </pic:blipFill>
                  <pic:spPr bwMode="auto">
                    <a:xfrm>
                      <a:off x="0" y="0"/>
                      <a:ext cx="8257540" cy="3367381"/>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3F5375" w:rsidRDefault="003F5375">
      <w:pPr>
        <w:rPr>
          <w:color w:val="FF0000"/>
          <w:lang w:val="es-MX"/>
        </w:rPr>
      </w:pPr>
    </w:p>
    <w:p w:rsidR="00852557" w:rsidRDefault="00F153EA">
      <w:pPr>
        <w:rPr>
          <w:color w:val="FF0000"/>
        </w:rPr>
      </w:pPr>
      <w:r>
        <w:rPr>
          <w:noProof/>
          <w:color w:val="FF0000"/>
          <w:lang w:val="es-PE" w:eastAsia="es-PE"/>
        </w:rPr>
        <w:pict>
          <v:shape id="_x0000_s1160" type="#_x0000_t202" style="position:absolute;left:0;text-align:left;margin-left:-3.4pt;margin-top:13.15pt;width:83.95pt;height:22.25pt;z-index:251653632;mso-width-relative:margin;mso-height-relative:margin" stroked="f">
            <v:textbox style="mso-next-textbox:#_x0000_s1160">
              <w:txbxContent>
                <w:p w:rsidR="00DB21F1" w:rsidRDefault="00DB21F1">
                  <w:pPr>
                    <w:rPr>
                      <w:b/>
                      <w:sz w:val="20"/>
                      <w:szCs w:val="20"/>
                    </w:rPr>
                  </w:pPr>
                  <w:r w:rsidRPr="003B7B43">
                    <w:rPr>
                      <w:b/>
                      <w:sz w:val="20"/>
                      <w:szCs w:val="20"/>
                    </w:rPr>
                    <w:t>ANEXO 13</w:t>
                  </w:r>
                  <w:r>
                    <w:rPr>
                      <w:b/>
                      <w:sz w:val="20"/>
                      <w:szCs w:val="20"/>
                    </w:rPr>
                    <w:t xml:space="preserve">                             </w:t>
                  </w:r>
                </w:p>
              </w:txbxContent>
            </v:textbox>
          </v:shape>
        </w:pict>
      </w:r>
    </w:p>
    <w:p w:rsidR="00852557" w:rsidRDefault="00852557">
      <w:pPr>
        <w:rPr>
          <w:color w:val="FF0000"/>
        </w:rPr>
      </w:pP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534E39" w:rsidP="0052453D">
      <w:pPr>
        <w:ind w:left="-283"/>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sidRPr="00534E39">
        <w:rPr>
          <w:noProof/>
          <w:lang w:val="es-PE" w:eastAsia="es-PE"/>
        </w:rPr>
        <w:lastRenderedPageBreak/>
        <w:drawing>
          <wp:inline distT="0" distB="0" distL="0" distR="0">
            <wp:extent cx="8257540" cy="4334116"/>
            <wp:effectExtent l="1905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3" cstate="print"/>
                    <a:srcRect/>
                    <a:stretch>
                      <a:fillRect/>
                    </a:stretch>
                  </pic:blipFill>
                  <pic:spPr bwMode="auto">
                    <a:xfrm>
                      <a:off x="0" y="0"/>
                      <a:ext cx="8257540" cy="4334116"/>
                    </a:xfrm>
                    <a:prstGeom prst="rect">
                      <a:avLst/>
                    </a:prstGeom>
                    <a:noFill/>
                    <a:ln w="9525">
                      <a:noFill/>
                      <a:miter lim="800000"/>
                      <a:headEnd/>
                      <a:tailEnd/>
                    </a:ln>
                  </pic:spPr>
                </pic:pic>
              </a:graphicData>
            </a:graphic>
          </wp:inline>
        </w:drawing>
      </w: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F153EA" w:rsidP="00534E39">
      <w:pPr>
        <w:ind w:left="113"/>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1" type="#_x0000_t202" style="position:absolute;left:0;text-align:left;margin-left:-.5pt;margin-top:-15.15pt;width:91.35pt;height:20.85pt;z-index:251654656;mso-width-relative:margin;mso-height-relative:margin" stroked="f">
            <v:textbox style="mso-next-textbox:#_x0000_s1161">
              <w:txbxContent>
                <w:p w:rsidR="00DB21F1" w:rsidRDefault="00DB21F1">
                  <w:pPr>
                    <w:rPr>
                      <w:b/>
                      <w:sz w:val="20"/>
                      <w:szCs w:val="18"/>
                    </w:rPr>
                  </w:pPr>
                  <w:r w:rsidRPr="003B7B43">
                    <w:rPr>
                      <w:b/>
                      <w:sz w:val="20"/>
                      <w:szCs w:val="18"/>
                    </w:rPr>
                    <w:t>ANEXO 14</w:t>
                  </w:r>
                  <w:r>
                    <w:rPr>
                      <w:b/>
                      <w:sz w:val="20"/>
                      <w:szCs w:val="18"/>
                    </w:rPr>
                    <w:t xml:space="preserve">                                                            </w:t>
                  </w:r>
                </w:p>
              </w:txbxContent>
            </v:textbox>
          </v:shape>
        </w:pict>
      </w:r>
      <w:r w:rsidR="00534E39" w:rsidRPr="00534E39">
        <w:rPr>
          <w:noProof/>
          <w:lang w:val="es-PE" w:eastAsia="es-PE"/>
        </w:rPr>
        <w:drawing>
          <wp:inline distT="0" distB="0" distL="0" distR="0">
            <wp:extent cx="8257540" cy="6081567"/>
            <wp:effectExtent l="19050" t="0" r="0" b="0"/>
            <wp:docPr id="12"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4" cstate="print"/>
                    <a:srcRect/>
                    <a:stretch>
                      <a:fillRect/>
                    </a:stretch>
                  </pic:blipFill>
                  <pic:spPr bwMode="auto">
                    <a:xfrm>
                      <a:off x="0" y="0"/>
                      <a:ext cx="8257540" cy="6081567"/>
                    </a:xfrm>
                    <a:prstGeom prst="rect">
                      <a:avLst/>
                    </a:prstGeom>
                    <a:noFill/>
                    <a:ln w="9525">
                      <a:noFill/>
                      <a:miter lim="800000"/>
                      <a:headEnd/>
                      <a:tailEnd/>
                    </a:ln>
                  </pic:spPr>
                </pic:pic>
              </a:graphicData>
            </a:graphic>
          </wp:inline>
        </w:drawing>
      </w:r>
    </w:p>
    <w:p w:rsidR="00852557" w:rsidRDefault="00F153EA">
      <w:pPr>
        <w:jc w:val="center"/>
        <w:rPr>
          <w:color w:val="FF0000"/>
          <w:lang w:val="es-MX"/>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2" type="#_x0000_t202" style="position:absolute;left:0;text-align:left;margin-left:30.45pt;margin-top:-22.75pt;width:82.2pt;height:21.9pt;z-index:251655680;mso-width-relative:margin;mso-height-relative:margin" stroked="f">
            <v:textbox style="mso-next-textbox:#_x0000_s1162">
              <w:txbxContent>
                <w:p w:rsidR="00DB21F1" w:rsidRDefault="00DB21F1">
                  <w:pPr>
                    <w:rPr>
                      <w:b/>
                      <w:sz w:val="20"/>
                      <w:szCs w:val="20"/>
                    </w:rPr>
                  </w:pPr>
                  <w:r w:rsidRPr="003B7B43">
                    <w:rPr>
                      <w:b/>
                      <w:sz w:val="20"/>
                      <w:szCs w:val="20"/>
                    </w:rPr>
                    <w:t>ANEXO 15</w:t>
                  </w:r>
                  <w:r>
                    <w:rPr>
                      <w:b/>
                      <w:sz w:val="20"/>
                      <w:szCs w:val="20"/>
                    </w:rPr>
                    <w:t xml:space="preserve">                                                                      </w:t>
                  </w:r>
                </w:p>
              </w:txbxContent>
            </v:textbox>
          </v:shape>
        </w:pict>
      </w:r>
      <w:r w:rsidR="00534E39" w:rsidRPr="00534E39">
        <w:rPr>
          <w:noProof/>
          <w:lang w:val="es-PE" w:eastAsia="es-PE"/>
        </w:rPr>
        <w:drawing>
          <wp:inline distT="0" distB="0" distL="0" distR="0">
            <wp:extent cx="8254842" cy="6419850"/>
            <wp:effectExtent l="19050" t="0" r="0" b="0"/>
            <wp:docPr id="13"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5" cstate="print"/>
                    <a:srcRect/>
                    <a:stretch>
                      <a:fillRect/>
                    </a:stretch>
                  </pic:blipFill>
                  <pic:spPr bwMode="auto">
                    <a:xfrm>
                      <a:off x="0" y="0"/>
                      <a:ext cx="8257540" cy="6421948"/>
                    </a:xfrm>
                    <a:prstGeom prst="rect">
                      <a:avLst/>
                    </a:prstGeom>
                    <a:noFill/>
                    <a:ln w="9525">
                      <a:noFill/>
                      <a:miter lim="800000"/>
                      <a:headEnd/>
                      <a:tailEnd/>
                    </a:ln>
                  </pic:spPr>
                </pic:pic>
              </a:graphicData>
            </a:graphic>
          </wp:inline>
        </w:drawing>
      </w:r>
    </w:p>
    <w:p w:rsidR="00852557" w:rsidRDefault="00F153EA">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3" type="#_x0000_t202" style="position:absolute;left:0;text-align:left;margin-left:26.5pt;margin-top:-23.45pt;width:71.75pt;height:19.2pt;z-index:251656704;mso-width-relative:margin;mso-height-relative:margin" stroked="f">
            <v:textbox style="mso-next-textbox:#_x0000_s1163">
              <w:txbxContent>
                <w:p w:rsidR="00DB21F1" w:rsidRDefault="00DB21F1">
                  <w:pPr>
                    <w:rPr>
                      <w:b/>
                      <w:sz w:val="20"/>
                      <w:szCs w:val="18"/>
                    </w:rPr>
                  </w:pPr>
                  <w:r w:rsidRPr="004E6795">
                    <w:rPr>
                      <w:b/>
                      <w:sz w:val="20"/>
                      <w:szCs w:val="18"/>
                    </w:rPr>
                    <w:t>ANEXO 16</w:t>
                  </w:r>
                </w:p>
                <w:p w:rsidR="00DB21F1" w:rsidRDefault="00DB21F1">
                  <w:pPr>
                    <w:rPr>
                      <w:b/>
                      <w:sz w:val="20"/>
                      <w:szCs w:val="18"/>
                    </w:rPr>
                  </w:pPr>
                </w:p>
                <w:p w:rsidR="00DB21F1" w:rsidRDefault="00DB21F1">
                  <w:pPr>
                    <w:rPr>
                      <w:b/>
                      <w:sz w:val="20"/>
                      <w:szCs w:val="18"/>
                    </w:rPr>
                  </w:pPr>
                  <w:r>
                    <w:rPr>
                      <w:b/>
                      <w:sz w:val="20"/>
                      <w:szCs w:val="18"/>
                    </w:rPr>
                    <w:t xml:space="preserve">                                                              </w:t>
                  </w:r>
                </w:p>
              </w:txbxContent>
            </v:textbox>
          </v:shape>
        </w:pict>
      </w:r>
      <w:r w:rsidR="00534E39" w:rsidRPr="00534E39">
        <w:rPr>
          <w:noProof/>
          <w:lang w:val="es-PE" w:eastAsia="es-PE"/>
        </w:rPr>
        <w:drawing>
          <wp:inline distT="0" distB="0" distL="0" distR="0">
            <wp:extent cx="8257540" cy="2627399"/>
            <wp:effectExtent l="1905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6" cstate="print"/>
                    <a:srcRect/>
                    <a:stretch>
                      <a:fillRect/>
                    </a:stretch>
                  </pic:blipFill>
                  <pic:spPr bwMode="auto">
                    <a:xfrm>
                      <a:off x="0" y="0"/>
                      <a:ext cx="8257540" cy="2627399"/>
                    </a:xfrm>
                    <a:prstGeom prst="rect">
                      <a:avLst/>
                    </a:prstGeom>
                    <a:noFill/>
                    <a:ln w="9525">
                      <a:noFill/>
                      <a:miter lim="800000"/>
                      <a:headEnd/>
                      <a:tailEnd/>
                    </a:ln>
                  </pic:spPr>
                </pic:pic>
              </a:graphicData>
            </a:graphic>
          </wp:inline>
        </w:drawing>
      </w: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77"/>
          <w:footerReference w:type="default" r:id="rId178"/>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63" type="#_x0000_t75" style="width:84pt;height:34.5pt" o:ole="">
            <v:imagedata r:id="rId179" o:title=""/>
          </v:shape>
          <o:OLEObject Type="Embed" ProgID="Equation.3" ShapeID="_x0000_i1063" DrawAspect="Content" ObjectID="_1388566700" r:id="rId180"/>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81"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64" type="#_x0000_t75" style="width:198pt;height:187.5pt" o:ole="">
            <v:imagedata r:id="rId182" o:title=""/>
          </v:shape>
          <o:OLEObject Type="Embed" ProgID="Excel.Sheet.8" ShapeID="_x0000_i1064" DrawAspect="Content" ObjectID="_1388566701" r:id="rId183"/>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592E" w:rsidRDefault="0095592E">
      <w:r>
        <w:separator/>
      </w:r>
    </w:p>
  </w:endnote>
  <w:endnote w:type="continuationSeparator" w:id="0">
    <w:p w:rsidR="0095592E" w:rsidRDefault="0095592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framePr w:wrap="around" w:vAnchor="text" w:hAnchor="margin" w:xAlign="right" w:y="1"/>
      <w:rPr>
        <w:rStyle w:val="Nmerodepgina"/>
      </w:rPr>
    </w:pPr>
    <w:r>
      <w:rPr>
        <w:rStyle w:val="Nmerodepgina"/>
      </w:rPr>
      <w:fldChar w:fldCharType="begin"/>
    </w:r>
    <w:r w:rsidR="00DB21F1">
      <w:rPr>
        <w:rStyle w:val="Nmerodepgina"/>
      </w:rPr>
      <w:instrText xml:space="preserve">PAGE  </w:instrText>
    </w:r>
    <w:r>
      <w:rPr>
        <w:rStyle w:val="Nmerodepgina"/>
      </w:rPr>
      <w:fldChar w:fldCharType="end"/>
    </w:r>
  </w:p>
  <w:p w:rsidR="00DB21F1" w:rsidRDefault="00DB21F1">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framePr w:wrap="around" w:vAnchor="text" w:hAnchor="margin" w:xAlign="right" w:y="1"/>
      <w:rPr>
        <w:rStyle w:val="Nmerodepgina"/>
      </w:rPr>
    </w:pPr>
    <w:r>
      <w:rPr>
        <w:rStyle w:val="Nmerodepgina"/>
      </w:rPr>
      <w:fldChar w:fldCharType="begin"/>
    </w:r>
    <w:r w:rsidR="00DB21F1">
      <w:rPr>
        <w:rStyle w:val="Nmerodepgina"/>
      </w:rPr>
      <w:instrText xml:space="preserve">PAGE  </w:instrText>
    </w:r>
    <w:r>
      <w:rPr>
        <w:rStyle w:val="Nmerodepgina"/>
      </w:rPr>
      <w:fldChar w:fldCharType="separate"/>
    </w:r>
    <w:r w:rsidR="00DB21F1">
      <w:rPr>
        <w:rStyle w:val="Nmerodepgina"/>
        <w:noProof/>
      </w:rPr>
      <w:t>10</w:t>
    </w:r>
    <w:r>
      <w:rPr>
        <w:rStyle w:val="Nmerodepgina"/>
      </w:rPr>
      <w:fldChar w:fldCharType="end"/>
    </w:r>
  </w:p>
  <w:p w:rsidR="00DB21F1" w:rsidRDefault="00DB21F1">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framePr w:wrap="around" w:vAnchor="text" w:hAnchor="margin" w:xAlign="right" w:y="1"/>
      <w:rPr>
        <w:rStyle w:val="Nmerodepgina"/>
      </w:rPr>
    </w:pPr>
    <w:r>
      <w:rPr>
        <w:rStyle w:val="Nmerodepgina"/>
      </w:rPr>
      <w:fldChar w:fldCharType="begin"/>
    </w:r>
    <w:r w:rsidR="00DB21F1">
      <w:rPr>
        <w:rStyle w:val="Nmerodepgina"/>
      </w:rPr>
      <w:instrText xml:space="preserve">PAGE  </w:instrText>
    </w:r>
    <w:r>
      <w:rPr>
        <w:rStyle w:val="Nmerodepgina"/>
      </w:rPr>
      <w:fldChar w:fldCharType="separate"/>
    </w:r>
    <w:r w:rsidR="00031C43">
      <w:rPr>
        <w:rStyle w:val="Nmerodepgina"/>
        <w:noProof/>
      </w:rPr>
      <w:t>10</w:t>
    </w:r>
    <w:r>
      <w:rPr>
        <w:rStyle w:val="Nmerodepgina"/>
      </w:rPr>
      <w:fldChar w:fldCharType="end"/>
    </w:r>
  </w:p>
  <w:p w:rsidR="00DB21F1" w:rsidRDefault="00DB21F1">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framePr w:wrap="around" w:vAnchor="text" w:hAnchor="margin" w:xAlign="right" w:y="1"/>
      <w:rPr>
        <w:rStyle w:val="Nmerodepgina"/>
      </w:rPr>
    </w:pPr>
    <w:r>
      <w:rPr>
        <w:rStyle w:val="Nmerodepgina"/>
      </w:rPr>
      <w:fldChar w:fldCharType="begin"/>
    </w:r>
    <w:r w:rsidR="00DB21F1">
      <w:rPr>
        <w:rStyle w:val="Nmerodepgina"/>
      </w:rPr>
      <w:instrText xml:space="preserve">PAGE  </w:instrText>
    </w:r>
    <w:r>
      <w:rPr>
        <w:rStyle w:val="Nmerodepgina"/>
      </w:rPr>
      <w:fldChar w:fldCharType="separate"/>
    </w:r>
    <w:r w:rsidR="00DB21F1">
      <w:rPr>
        <w:rStyle w:val="Nmerodepgina"/>
        <w:noProof/>
      </w:rPr>
      <w:t>14</w:t>
    </w:r>
    <w:r>
      <w:rPr>
        <w:rStyle w:val="Nmerodepgina"/>
      </w:rPr>
      <w:fldChar w:fldCharType="end"/>
    </w:r>
  </w:p>
  <w:p w:rsidR="00DB21F1" w:rsidRDefault="00DB21F1">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framePr w:wrap="around" w:vAnchor="text" w:hAnchor="margin" w:xAlign="right" w:y="1"/>
      <w:rPr>
        <w:rStyle w:val="Nmerodepgina"/>
      </w:rPr>
    </w:pPr>
    <w:r>
      <w:rPr>
        <w:rStyle w:val="Nmerodepgina"/>
      </w:rPr>
      <w:fldChar w:fldCharType="begin"/>
    </w:r>
    <w:r w:rsidR="00DB21F1">
      <w:rPr>
        <w:rStyle w:val="Nmerodepgina"/>
      </w:rPr>
      <w:instrText xml:space="preserve">PAGE  </w:instrText>
    </w:r>
    <w:r>
      <w:rPr>
        <w:rStyle w:val="Nmerodepgina"/>
      </w:rPr>
      <w:fldChar w:fldCharType="end"/>
    </w:r>
  </w:p>
  <w:p w:rsidR="00DB21F1" w:rsidRDefault="00DB21F1">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pPr>
      <w:pStyle w:val="Piedepgina"/>
      <w:framePr w:wrap="around" w:vAnchor="text" w:hAnchor="margin" w:xAlign="right" w:y="1"/>
      <w:ind w:right="360"/>
      <w:rPr>
        <w:rStyle w:val="Nmerodepgina"/>
      </w:rPr>
    </w:pPr>
  </w:p>
  <w:p w:rsidR="00DB21F1" w:rsidRDefault="00F153EA">
    <w:pPr>
      <w:pStyle w:val="Piedepgina"/>
      <w:ind w:right="360"/>
      <w:jc w:val="right"/>
    </w:pPr>
    <w:r>
      <w:rPr>
        <w:rStyle w:val="Nmerodepgina"/>
      </w:rPr>
      <w:fldChar w:fldCharType="begin"/>
    </w:r>
    <w:r w:rsidR="00DB21F1">
      <w:rPr>
        <w:rStyle w:val="Nmerodepgina"/>
      </w:rPr>
      <w:instrText xml:space="preserve"> PAGE </w:instrText>
    </w:r>
    <w:r>
      <w:rPr>
        <w:rStyle w:val="Nmerodepgina"/>
      </w:rPr>
      <w:fldChar w:fldCharType="separate"/>
    </w:r>
    <w:r w:rsidR="00031C43">
      <w:rPr>
        <w:rStyle w:val="Nmerodepgina"/>
        <w:noProof/>
      </w:rPr>
      <w:t>13</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jc w:val="right"/>
    </w:pPr>
    <w:r>
      <w:rPr>
        <w:rStyle w:val="Nmerodepgina"/>
      </w:rPr>
      <w:fldChar w:fldCharType="begin"/>
    </w:r>
    <w:r w:rsidR="00DB21F1">
      <w:rPr>
        <w:rStyle w:val="Nmerodepgina"/>
      </w:rPr>
      <w:instrText xml:space="preserve"> PAGE </w:instrText>
    </w:r>
    <w:r>
      <w:rPr>
        <w:rStyle w:val="Nmerodepgina"/>
      </w:rPr>
      <w:fldChar w:fldCharType="separate"/>
    </w:r>
    <w:r w:rsidR="00DB21F1">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DB5977" w:rsidRDefault="00DB21F1" w:rsidP="00DB5977">
    <w:pPr>
      <w:pStyle w:val="Piedepgina"/>
      <w:jc w:val="right"/>
      <w:rPr>
        <w:lang w:val="es-PE"/>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jc w:val="right"/>
    </w:pPr>
    <w:r>
      <w:rPr>
        <w:rStyle w:val="Nmerodepgina"/>
      </w:rPr>
      <w:fldChar w:fldCharType="begin"/>
    </w:r>
    <w:r w:rsidR="00DB21F1">
      <w:rPr>
        <w:rStyle w:val="Nmerodepgina"/>
      </w:rPr>
      <w:instrText xml:space="preserve"> PAGE </w:instrText>
    </w:r>
    <w:r>
      <w:rPr>
        <w:rStyle w:val="Nmerodepgina"/>
      </w:rPr>
      <w:fldChar w:fldCharType="separate"/>
    </w:r>
    <w:r w:rsidR="00031C43">
      <w:rPr>
        <w:rStyle w:val="Nmerodepgina"/>
        <w:noProof/>
      </w:rPr>
      <w:t>19</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framePr w:wrap="around" w:vAnchor="text" w:hAnchor="margin" w:xAlign="right" w:y="1"/>
      <w:rPr>
        <w:rStyle w:val="Nmerodepgina"/>
      </w:rPr>
    </w:pPr>
    <w:r>
      <w:rPr>
        <w:rStyle w:val="Nmerodepgina"/>
      </w:rPr>
      <w:fldChar w:fldCharType="begin"/>
    </w:r>
    <w:r w:rsidR="00DB21F1">
      <w:rPr>
        <w:rStyle w:val="Nmerodepgina"/>
      </w:rPr>
      <w:instrText xml:space="preserve">PAGE  </w:instrText>
    </w:r>
    <w:r>
      <w:rPr>
        <w:rStyle w:val="Nmerodepgina"/>
      </w:rPr>
      <w:fldChar w:fldCharType="separate"/>
    </w:r>
    <w:r w:rsidR="00031C43">
      <w:rPr>
        <w:rStyle w:val="Nmerodepgina"/>
        <w:noProof/>
      </w:rPr>
      <w:t>22</w:t>
    </w:r>
    <w:r>
      <w:rPr>
        <w:rStyle w:val="Nmerodepgina"/>
      </w:rPr>
      <w:fldChar w:fldCharType="end"/>
    </w:r>
  </w:p>
  <w:p w:rsidR="00DB21F1" w:rsidRDefault="00DB21F1">
    <w:pPr>
      <w:pStyle w:val="Piedepgina"/>
      <w:ind w:right="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jc w:val="right"/>
    </w:pPr>
    <w:fldSimple w:instr=" PAGE   \* MERGEFORMAT ">
      <w:r w:rsidR="00031C43">
        <w:rPr>
          <w:noProof/>
        </w:rPr>
        <w:t>2</w:t>
      </w:r>
    </w:fldSimple>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jc w:val="right"/>
    </w:pPr>
    <w:r>
      <w:rPr>
        <w:rStyle w:val="Nmerodepgina"/>
      </w:rPr>
      <w:fldChar w:fldCharType="begin"/>
    </w:r>
    <w:r w:rsidR="00DB21F1">
      <w:rPr>
        <w:rStyle w:val="Nmerodepgina"/>
      </w:rPr>
      <w:instrText xml:space="preserve"> PAGE </w:instrText>
    </w:r>
    <w:r>
      <w:rPr>
        <w:rStyle w:val="Nmerodepgina"/>
      </w:rPr>
      <w:fldChar w:fldCharType="separate"/>
    </w:r>
    <w:r w:rsidR="00031C43">
      <w:rPr>
        <w:rStyle w:val="Nmerodepgina"/>
        <w:noProof/>
      </w:rPr>
      <w:t>23</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pPr>
      <w:pStyle w:val="Piedepgina"/>
      <w:framePr w:wrap="around" w:vAnchor="text" w:hAnchor="margin" w:xAlign="right" w:y="1"/>
      <w:rPr>
        <w:rStyle w:val="Nmerodepgina"/>
      </w:rPr>
    </w:pPr>
  </w:p>
  <w:p w:rsidR="00DB21F1" w:rsidRDefault="00DB21F1">
    <w:pPr>
      <w:pStyle w:val="Piedepgina"/>
      <w:ind w:right="360"/>
      <w:jc w:val="right"/>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pPr>
      <w:pStyle w:val="Piedepgina"/>
      <w:framePr w:wrap="around" w:vAnchor="text" w:hAnchor="margin" w:xAlign="right" w:y="1"/>
      <w:rPr>
        <w:rStyle w:val="Nmerodepgina"/>
      </w:rPr>
    </w:pPr>
  </w:p>
  <w:p w:rsidR="00DB21F1" w:rsidRDefault="00DB21F1">
    <w:pPr>
      <w:pStyle w:val="Piedepgina"/>
      <w:ind w:right="360"/>
      <w:jc w:val="right"/>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jc w:val="right"/>
    </w:pPr>
    <w:r>
      <w:rPr>
        <w:rStyle w:val="Nmerodepgina"/>
      </w:rPr>
      <w:fldChar w:fldCharType="begin"/>
    </w:r>
    <w:r w:rsidR="00DB21F1">
      <w:rPr>
        <w:rStyle w:val="Nmerodepgina"/>
      </w:rPr>
      <w:instrText xml:space="preserve"> PAGE </w:instrText>
    </w:r>
    <w:r>
      <w:rPr>
        <w:rStyle w:val="Nmerodepgina"/>
      </w:rPr>
      <w:fldChar w:fldCharType="separate"/>
    </w:r>
    <w:r w:rsidR="00DB21F1">
      <w:rPr>
        <w:rStyle w:val="Nmerodepgina"/>
        <w:noProof/>
      </w:rPr>
      <w:t>24</w:t>
    </w:r>
    <w:r>
      <w:rPr>
        <w:rStyle w:val="Nmerodepgina"/>
      </w:rPr>
      <w:fldChar w:fldCharType="end"/>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pPr>
      <w:pStyle w:val="Piedepgina"/>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jc w:val="right"/>
    </w:pPr>
    <w:r>
      <w:rPr>
        <w:rStyle w:val="Nmerodepgina"/>
      </w:rPr>
      <w:fldChar w:fldCharType="begin"/>
    </w:r>
    <w:r w:rsidR="00DB21F1">
      <w:rPr>
        <w:rStyle w:val="Nmerodepgina"/>
      </w:rPr>
      <w:instrText xml:space="preserve"> PAGE </w:instrText>
    </w:r>
    <w:r>
      <w:rPr>
        <w:rStyle w:val="Nmerodepgina"/>
      </w:rPr>
      <w:fldChar w:fldCharType="separate"/>
    </w:r>
    <w:r w:rsidR="00031C43">
      <w:rPr>
        <w:rStyle w:val="Nmerodepgina"/>
        <w:noProof/>
      </w:rPr>
      <w:t>24</w:t>
    </w:r>
    <w:r>
      <w:rPr>
        <w:rStyle w:val="Nmerodepgina"/>
      </w:rPr>
      <w:fldChar w:fldCharType="end"/>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pPr>
      <w:pStyle w:val="Piedepgina"/>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framePr w:wrap="around" w:vAnchor="text" w:hAnchor="margin" w:xAlign="right" w:y="1"/>
      <w:rPr>
        <w:rStyle w:val="Nmerodepgina"/>
      </w:rPr>
    </w:pPr>
    <w:r>
      <w:rPr>
        <w:rStyle w:val="Nmerodepgina"/>
      </w:rPr>
      <w:fldChar w:fldCharType="begin"/>
    </w:r>
    <w:r w:rsidR="00DB21F1">
      <w:rPr>
        <w:rStyle w:val="Nmerodepgina"/>
      </w:rPr>
      <w:instrText xml:space="preserve">PAGE  </w:instrText>
    </w:r>
    <w:r>
      <w:rPr>
        <w:rStyle w:val="Nmerodepgina"/>
      </w:rPr>
      <w:fldChar w:fldCharType="separate"/>
    </w:r>
    <w:r w:rsidR="00031C43">
      <w:rPr>
        <w:rStyle w:val="Nmerodepgina"/>
        <w:noProof/>
      </w:rPr>
      <w:t>26</w:t>
    </w:r>
    <w:r>
      <w:rPr>
        <w:rStyle w:val="Nmerodepgina"/>
      </w:rPr>
      <w:fldChar w:fldCharType="end"/>
    </w:r>
  </w:p>
  <w:p w:rsidR="00DB21F1" w:rsidRDefault="00DB21F1">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framePr w:wrap="around" w:vAnchor="text" w:hAnchor="margin" w:xAlign="right" w:y="1"/>
      <w:rPr>
        <w:rStyle w:val="Nmerodepgina"/>
      </w:rPr>
    </w:pPr>
    <w:r>
      <w:rPr>
        <w:rStyle w:val="Nmerodepgina"/>
      </w:rPr>
      <w:fldChar w:fldCharType="begin"/>
    </w:r>
    <w:r w:rsidR="00DB21F1">
      <w:rPr>
        <w:rStyle w:val="Nmerodepgina"/>
      </w:rPr>
      <w:instrText xml:space="preserve">PAGE  </w:instrText>
    </w:r>
    <w:r>
      <w:rPr>
        <w:rStyle w:val="Nmerodepgina"/>
      </w:rPr>
      <w:fldChar w:fldCharType="separate"/>
    </w:r>
    <w:r w:rsidR="00031C43">
      <w:rPr>
        <w:rStyle w:val="Nmerodepgina"/>
        <w:noProof/>
      </w:rPr>
      <w:t>27</w:t>
    </w:r>
    <w:r>
      <w:rPr>
        <w:rStyle w:val="Nmerodepgina"/>
      </w:rPr>
      <w:fldChar w:fldCharType="end"/>
    </w:r>
  </w:p>
  <w:p w:rsidR="00DB21F1" w:rsidRDefault="00DB21F1">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framePr w:wrap="around" w:vAnchor="text" w:hAnchor="margin" w:xAlign="right" w:y="1"/>
      <w:rPr>
        <w:rStyle w:val="Nmerodepgina"/>
      </w:rPr>
    </w:pPr>
    <w:r>
      <w:rPr>
        <w:rStyle w:val="Nmerodepgina"/>
      </w:rPr>
      <w:fldChar w:fldCharType="begin"/>
    </w:r>
    <w:r w:rsidR="00DB21F1">
      <w:rPr>
        <w:rStyle w:val="Nmerodepgina"/>
      </w:rPr>
      <w:instrText xml:space="preserve">PAGE  </w:instrText>
    </w:r>
    <w:r>
      <w:rPr>
        <w:rStyle w:val="Nmerodepgina"/>
      </w:rPr>
      <w:fldChar w:fldCharType="separate"/>
    </w:r>
    <w:r w:rsidR="00031C43">
      <w:rPr>
        <w:rStyle w:val="Nmerodepgina"/>
        <w:noProof/>
      </w:rPr>
      <w:t>28</w:t>
    </w:r>
    <w:r>
      <w:rPr>
        <w:rStyle w:val="Nmerodepgina"/>
      </w:rPr>
      <w:fldChar w:fldCharType="end"/>
    </w:r>
  </w:p>
  <w:p w:rsidR="00DB21F1" w:rsidRDefault="00DB21F1">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rsidP="006B2E1E">
    <w:pPr>
      <w:pStyle w:val="Piedepgina"/>
      <w:framePr w:wrap="around" w:vAnchor="text" w:hAnchor="page" w:x="14356" w:y="145"/>
      <w:rPr>
        <w:rStyle w:val="Nmerodepgina"/>
      </w:rPr>
    </w:pPr>
    <w:r>
      <w:rPr>
        <w:rStyle w:val="Nmerodepgina"/>
      </w:rPr>
      <w:fldChar w:fldCharType="begin"/>
    </w:r>
    <w:r w:rsidR="00DB21F1">
      <w:rPr>
        <w:rStyle w:val="Nmerodepgina"/>
      </w:rPr>
      <w:instrText xml:space="preserve">PAGE  </w:instrText>
    </w:r>
    <w:r>
      <w:rPr>
        <w:rStyle w:val="Nmerodepgina"/>
      </w:rPr>
      <w:fldChar w:fldCharType="separate"/>
    </w:r>
    <w:r w:rsidR="00031C43">
      <w:rPr>
        <w:rStyle w:val="Nmerodepgina"/>
        <w:noProof/>
      </w:rPr>
      <w:t>33</w:t>
    </w:r>
    <w:r>
      <w:rPr>
        <w:rStyle w:val="Nmerodepgina"/>
      </w:rPr>
      <w:fldChar w:fldCharType="end"/>
    </w:r>
  </w:p>
  <w:p w:rsidR="00DB21F1" w:rsidRDefault="00DB21F1">
    <w:pPr>
      <w:pStyle w:val="Piedepgina"/>
      <w:ind w:right="360"/>
      <w:jc w:val="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framePr w:wrap="around" w:vAnchor="text" w:hAnchor="margin" w:xAlign="right" w:y="1"/>
      <w:rPr>
        <w:rStyle w:val="Nmerodepgina"/>
      </w:rPr>
    </w:pPr>
    <w:r>
      <w:rPr>
        <w:rStyle w:val="Nmerodepgina"/>
      </w:rPr>
      <w:fldChar w:fldCharType="begin"/>
    </w:r>
    <w:r w:rsidR="00DB21F1">
      <w:rPr>
        <w:rStyle w:val="Nmerodepgina"/>
      </w:rPr>
      <w:instrText xml:space="preserve">PAGE  </w:instrText>
    </w:r>
    <w:r>
      <w:rPr>
        <w:rStyle w:val="Nmerodepgina"/>
      </w:rPr>
      <w:fldChar w:fldCharType="separate"/>
    </w:r>
    <w:r w:rsidR="00031C43">
      <w:rPr>
        <w:rStyle w:val="Nmerodepgina"/>
        <w:noProof/>
      </w:rPr>
      <w:t>47</w:t>
    </w:r>
    <w:r>
      <w:rPr>
        <w:rStyle w:val="Nmerodepgina"/>
      </w:rPr>
      <w:fldChar w:fldCharType="end"/>
    </w:r>
  </w:p>
  <w:p w:rsidR="00DB21F1" w:rsidRDefault="00DB21F1">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DB5977">
    <w:pPr>
      <w:pStyle w:val="Piedepgina"/>
      <w:jc w:val="right"/>
    </w:pPr>
    <w:r>
      <w:rPr>
        <w:snapToGrid w:val="0"/>
      </w:rPr>
      <w:t xml:space="preserve"> </w:t>
    </w:r>
    <w:r w:rsidR="00F153EA">
      <w:rPr>
        <w:snapToGrid w:val="0"/>
      </w:rPr>
      <w:fldChar w:fldCharType="begin"/>
    </w:r>
    <w:r>
      <w:rPr>
        <w:snapToGrid w:val="0"/>
      </w:rPr>
      <w:instrText xml:space="preserve"> PAGE </w:instrText>
    </w:r>
    <w:r w:rsidR="00F153EA">
      <w:rPr>
        <w:snapToGrid w:val="0"/>
      </w:rPr>
      <w:fldChar w:fldCharType="separate"/>
    </w:r>
    <w:r w:rsidR="00031C43">
      <w:rPr>
        <w:noProof/>
        <w:snapToGrid w:val="0"/>
      </w:rPr>
      <w:t>3</w:t>
    </w:r>
    <w:r w:rsidR="00F153EA">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pPr>
      <w:pStyle w:val="Piedepgina"/>
      <w:jc w:val="center"/>
    </w:pPr>
    <w:r>
      <w:rPr>
        <w:snapToGrid w:val="0"/>
      </w:rPr>
      <w:t xml:space="preserve">- </w:t>
    </w:r>
    <w:r w:rsidR="00F153EA">
      <w:rPr>
        <w:snapToGrid w:val="0"/>
      </w:rPr>
      <w:fldChar w:fldCharType="begin"/>
    </w:r>
    <w:r>
      <w:rPr>
        <w:snapToGrid w:val="0"/>
      </w:rPr>
      <w:instrText xml:space="preserve"> PAGE </w:instrText>
    </w:r>
    <w:r w:rsidR="00F153EA">
      <w:rPr>
        <w:snapToGrid w:val="0"/>
      </w:rPr>
      <w:fldChar w:fldCharType="separate"/>
    </w:r>
    <w:r>
      <w:rPr>
        <w:noProof/>
        <w:snapToGrid w:val="0"/>
      </w:rPr>
      <w:t>5</w:t>
    </w:r>
    <w:r w:rsidR="00F153EA">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pPr>
      <w:pStyle w:val="Piedepgina"/>
      <w:jc w:val="center"/>
    </w:pPr>
    <w:r>
      <w:rPr>
        <w:snapToGrid w:val="0"/>
      </w:rPr>
      <w:t xml:space="preserve">- </w:t>
    </w:r>
    <w:r w:rsidR="00F153EA">
      <w:rPr>
        <w:snapToGrid w:val="0"/>
      </w:rPr>
      <w:fldChar w:fldCharType="begin"/>
    </w:r>
    <w:r>
      <w:rPr>
        <w:snapToGrid w:val="0"/>
      </w:rPr>
      <w:instrText xml:space="preserve"> PAGE </w:instrText>
    </w:r>
    <w:r w:rsidR="00F153EA">
      <w:rPr>
        <w:snapToGrid w:val="0"/>
      </w:rPr>
      <w:fldChar w:fldCharType="separate"/>
    </w:r>
    <w:r>
      <w:rPr>
        <w:noProof/>
        <w:snapToGrid w:val="0"/>
      </w:rPr>
      <w:t>5</w:t>
    </w:r>
    <w:r w:rsidR="00F153EA">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rsidP="00DB5977">
    <w:pPr>
      <w:pStyle w:val="Piedepgina"/>
      <w:jc w:val="right"/>
    </w:pPr>
    <w:r>
      <w:rPr>
        <w:snapToGrid w:val="0"/>
      </w:rPr>
      <w:fldChar w:fldCharType="begin"/>
    </w:r>
    <w:r w:rsidR="00DB21F1">
      <w:rPr>
        <w:snapToGrid w:val="0"/>
      </w:rPr>
      <w:instrText xml:space="preserve"> PAGE </w:instrText>
    </w:r>
    <w:r>
      <w:rPr>
        <w:snapToGrid w:val="0"/>
      </w:rPr>
      <w:fldChar w:fldCharType="separate"/>
    </w:r>
    <w:r w:rsidR="00031C43">
      <w:rPr>
        <w:noProof/>
        <w:snapToGrid w:val="0"/>
      </w:rPr>
      <w:t>4</w:t>
    </w:r>
    <w:r>
      <w:rPr>
        <w:snapToGrid w:val="0"/>
      </w:rPr>
      <w:fldChar w:fldCharType="end"/>
    </w:r>
    <w:r w:rsidR="00DB21F1">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DB5977">
    <w:pPr>
      <w:pStyle w:val="Piedepgina"/>
      <w:jc w:val="right"/>
    </w:pPr>
    <w:r>
      <w:rPr>
        <w:snapToGrid w:val="0"/>
      </w:rPr>
      <w:t xml:space="preserve"> </w:t>
    </w:r>
    <w:r w:rsidR="00F153EA">
      <w:rPr>
        <w:snapToGrid w:val="0"/>
      </w:rPr>
      <w:fldChar w:fldCharType="begin"/>
    </w:r>
    <w:r>
      <w:rPr>
        <w:snapToGrid w:val="0"/>
      </w:rPr>
      <w:instrText xml:space="preserve"> PAGE </w:instrText>
    </w:r>
    <w:r w:rsidR="00F153EA">
      <w:rPr>
        <w:snapToGrid w:val="0"/>
      </w:rPr>
      <w:fldChar w:fldCharType="separate"/>
    </w:r>
    <w:r w:rsidR="00031C43">
      <w:rPr>
        <w:noProof/>
        <w:snapToGrid w:val="0"/>
      </w:rPr>
      <w:t>6</w:t>
    </w:r>
    <w:r w:rsidR="00F153EA">
      <w:rPr>
        <w:snapToGrid w:val="0"/>
      </w:rPr>
      <w:fldChar w:fldCharType="end"/>
    </w:r>
    <w:r>
      <w:rPr>
        <w:snapToGrid w:val="0"/>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F153EA">
    <w:pPr>
      <w:pStyle w:val="Piedepgina"/>
      <w:jc w:val="right"/>
    </w:pPr>
    <w:fldSimple w:instr=" PAGE   \* MERGEFORMAT ">
      <w:r w:rsidR="00031C43">
        <w:rPr>
          <w:noProof/>
        </w:rPr>
        <w:t>12</w:t>
      </w:r>
    </w:fldSimple>
  </w:p>
  <w:p w:rsidR="00DB21F1" w:rsidRDefault="00DB21F1">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592E" w:rsidRDefault="0095592E">
      <w:r>
        <w:separator/>
      </w:r>
    </w:p>
  </w:footnote>
  <w:footnote w:type="continuationSeparator" w:id="0">
    <w:p w:rsidR="0095592E" w:rsidRDefault="0095592E">
      <w:r>
        <w:continuationSeparator/>
      </w:r>
    </w:p>
  </w:footnote>
  <w:footnote w:id="1">
    <w:p w:rsidR="00DB21F1" w:rsidRDefault="00DB21F1">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rPr>
        <w:i/>
      </w:rPr>
    </w:pPr>
    <w:r>
      <w:rPr>
        <w:i/>
      </w:rPr>
      <w:t>Síntesis Económica de Piura Noviembre 2011</w:t>
    </w:r>
  </w:p>
  <w:p w:rsidR="00DB21F1" w:rsidRDefault="00DB21F1">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B54CAE" w:rsidRDefault="00DB21F1" w:rsidP="00253F18">
    <w:pPr>
      <w:pStyle w:val="Encabezado"/>
      <w:rPr>
        <w:i/>
      </w:rPr>
    </w:pPr>
    <w:r w:rsidRPr="00B54CAE">
      <w:rPr>
        <w:i/>
      </w:rPr>
      <w:t xml:space="preserve">Síntesis Económica de Piura </w:t>
    </w:r>
    <w:r>
      <w:rPr>
        <w:i/>
      </w:rPr>
      <w:t>Noviembre</w:t>
    </w:r>
    <w:r w:rsidRPr="00B54CAE">
      <w:rPr>
        <w:i/>
      </w:rPr>
      <w:t xml:space="preserve"> 2011</w:t>
    </w:r>
  </w:p>
  <w:p w:rsidR="00DB21F1" w:rsidRDefault="00DB21F1"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pPr>
    <w:r>
      <w:tab/>
      <w:t>Síntesis Económica de Piura Octubre  2009</w:t>
    </w:r>
  </w:p>
  <w:p w:rsidR="00DB21F1" w:rsidRDefault="00DB21F1" w:rsidP="00253F18">
    <w:pPr>
      <w:pStyle w:val="Encabezado"/>
    </w:pPr>
  </w:p>
  <w:p w:rsidR="00DB21F1" w:rsidRDefault="00DB21F1"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B54CAE" w:rsidRDefault="00DB21F1" w:rsidP="00253F18">
    <w:pPr>
      <w:pStyle w:val="Encabezado"/>
      <w:rPr>
        <w:i/>
      </w:rPr>
    </w:pPr>
    <w:r w:rsidRPr="00B54CAE">
      <w:rPr>
        <w:i/>
      </w:rPr>
      <w:t xml:space="preserve">Síntesis Económica de Piura </w:t>
    </w:r>
    <w:r>
      <w:rPr>
        <w:i/>
      </w:rPr>
      <w:t>Noviembre</w:t>
    </w:r>
    <w:r w:rsidRPr="00B54CAE">
      <w:rPr>
        <w:i/>
      </w:rPr>
      <w:t xml:space="preserve"> 2011</w:t>
    </w:r>
  </w:p>
  <w:p w:rsidR="00DB21F1" w:rsidRDefault="00DB21F1"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B54CAE" w:rsidRDefault="00DB21F1" w:rsidP="00253F18">
    <w:pPr>
      <w:pStyle w:val="Encabezado"/>
      <w:rPr>
        <w:i/>
      </w:rPr>
    </w:pPr>
    <w:r w:rsidRPr="00B54CAE">
      <w:rPr>
        <w:i/>
      </w:rPr>
      <w:t xml:space="preserve">Síntesis Económica de Piura </w:t>
    </w:r>
    <w:r>
      <w:rPr>
        <w:i/>
      </w:rPr>
      <w:t>Noviembre</w:t>
    </w:r>
    <w:r w:rsidRPr="00B54CAE">
      <w:rPr>
        <w:i/>
      </w:rPr>
      <w:t xml:space="preserve">  2011</w:t>
    </w:r>
  </w:p>
  <w:p w:rsidR="00DB21F1" w:rsidRDefault="00DB21F1"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B54CAE" w:rsidRDefault="00DB21F1" w:rsidP="00253F18">
    <w:pPr>
      <w:pStyle w:val="Encabezado"/>
      <w:rPr>
        <w:i/>
      </w:rPr>
    </w:pPr>
    <w:r>
      <w:t xml:space="preserve">    </w:t>
    </w:r>
    <w:r w:rsidRPr="00B54CAE">
      <w:rPr>
        <w:i/>
      </w:rPr>
      <w:t xml:space="preserve">Síntesis Económica de Piura </w:t>
    </w:r>
    <w:r>
      <w:rPr>
        <w:i/>
      </w:rPr>
      <w:t>Noviembre</w:t>
    </w:r>
    <w:r w:rsidRPr="00B54CAE">
      <w:rPr>
        <w:i/>
      </w:rPr>
      <w:t xml:space="preserve"> 2011</w:t>
    </w:r>
  </w:p>
  <w:p w:rsidR="00DB21F1" w:rsidRDefault="00DB21F1" w:rsidP="00253F18">
    <w:pPr>
      <w:pStyle w:val="Encabezado"/>
    </w:pPr>
  </w:p>
  <w:p w:rsidR="00DB21F1" w:rsidRDefault="00DB21F1" w:rsidP="00253F18">
    <w:pPr>
      <w:pStyle w:val="Encabezado"/>
    </w:pPr>
  </w:p>
  <w:p w:rsidR="00DB21F1" w:rsidRDefault="00DB21F1"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B54CAE" w:rsidRDefault="00DB21F1" w:rsidP="00253F18">
    <w:pPr>
      <w:pStyle w:val="Encabezado"/>
      <w:rPr>
        <w:i/>
      </w:rPr>
    </w:pPr>
    <w:r w:rsidRPr="00B54CAE">
      <w:rPr>
        <w:i/>
      </w:rPr>
      <w:t xml:space="preserve">Síntesis Económica de Piura </w:t>
    </w:r>
    <w:r>
      <w:rPr>
        <w:i/>
      </w:rPr>
      <w:t>Noviembre</w:t>
    </w:r>
    <w:r w:rsidRPr="00B54CAE">
      <w:rPr>
        <w:i/>
      </w:rPr>
      <w:t xml:space="preserve"> 2011</w:t>
    </w:r>
  </w:p>
  <w:p w:rsidR="00DB21F1" w:rsidRDefault="00DB21F1" w:rsidP="00253F18">
    <w:pPr>
      <w:pStyle w:val="Encabezado"/>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B54CAE" w:rsidRDefault="00DB21F1" w:rsidP="00253F18">
    <w:pPr>
      <w:pStyle w:val="Encabezado"/>
      <w:rPr>
        <w:i/>
      </w:rPr>
    </w:pPr>
    <w:r w:rsidRPr="00B54CAE">
      <w:rPr>
        <w:i/>
      </w:rPr>
      <w:t xml:space="preserve">Síntesis Económica de Piura </w:t>
    </w:r>
    <w:r>
      <w:rPr>
        <w:i/>
      </w:rPr>
      <w:t>Noviembre</w:t>
    </w:r>
    <w:r w:rsidRPr="00B54CAE">
      <w:rPr>
        <w:i/>
      </w:rPr>
      <w:t xml:space="preserve"> 2011</w:t>
    </w:r>
  </w:p>
  <w:p w:rsidR="00DB21F1" w:rsidRDefault="00DB21F1" w:rsidP="00253F18">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4432DE" w:rsidRDefault="00DB21F1" w:rsidP="00CD44C9">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pPr>
      <w:pStyle w:val="Encabezado"/>
      <w:rPr>
        <w:lang w:val="es-PE"/>
      </w:rPr>
    </w:pPr>
  </w:p>
  <w:p w:rsidR="00DB21F1" w:rsidRPr="00253F18" w:rsidRDefault="00DB21F1">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4432DE" w:rsidRDefault="00DB21F1" w:rsidP="00253F18">
    <w:pPr>
      <w:pStyle w:val="Encabezado"/>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pPr>
    <w:r>
      <w:t>Síntesis Económica de Piura Diciembre  2009</w:t>
    </w:r>
  </w:p>
  <w:p w:rsidR="00DB21F1" w:rsidRDefault="00DB21F1"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rPr>
        <w:i/>
      </w:rPr>
    </w:pPr>
    <w:r>
      <w:rPr>
        <w:i/>
      </w:rPr>
      <w:t>Síntesis Económica de Piura Noviembre 2011</w:t>
    </w:r>
  </w:p>
  <w:p w:rsidR="00DB21F1" w:rsidRDefault="00DB21F1"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rPr>
        <w:i/>
      </w:rPr>
    </w:pPr>
    <w:r>
      <w:rPr>
        <w:i/>
      </w:rPr>
      <w:t>Síntesis Económica de Piura Noviembre 2011</w:t>
    </w:r>
  </w:p>
  <w:p w:rsidR="00DB21F1" w:rsidRDefault="00DB21F1" w:rsidP="00253F18">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rPr>
        <w:i/>
      </w:rPr>
    </w:pPr>
    <w:r>
      <w:rPr>
        <w:i/>
      </w:rPr>
      <w:t>Síntesis Económica de Piura Noviembre  2011</w:t>
    </w:r>
  </w:p>
  <w:p w:rsidR="00DB21F1" w:rsidRDefault="00DB21F1"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rPr>
        <w:i/>
      </w:rPr>
    </w:pPr>
    <w:r>
      <w:rPr>
        <w:i/>
      </w:rPr>
      <w:t>Síntesis Económica de Piura Noviembre 2011</w:t>
    </w:r>
  </w:p>
  <w:p w:rsidR="00DB21F1" w:rsidRDefault="00DB21F1" w:rsidP="00253F18">
    <w:pPr>
      <w:pStyle w:val="Encabezado"/>
    </w:pPr>
  </w:p>
  <w:p w:rsidR="00DB21F1" w:rsidRDefault="00DB21F1"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rPr>
        <w:i/>
      </w:rPr>
    </w:pPr>
    <w:r>
      <w:rPr>
        <w:i/>
      </w:rPr>
      <w:t>Síntesis Económica de Piura Noviembre 2011</w:t>
    </w:r>
  </w:p>
  <w:p w:rsidR="00DB21F1" w:rsidRDefault="00DB21F1" w:rsidP="00253F18">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DF681A" w:rsidRDefault="00DB21F1" w:rsidP="00253F18">
    <w:pPr>
      <w:pStyle w:val="Encabezado"/>
      <w:rPr>
        <w:i/>
      </w:rPr>
    </w:pPr>
    <w:r>
      <w:t xml:space="preserve">  </w:t>
    </w:r>
    <w:r w:rsidRPr="00DF681A">
      <w:rPr>
        <w:i/>
      </w:rPr>
      <w:t xml:space="preserve">Síntesis Económica de Piura </w:t>
    </w:r>
    <w:r>
      <w:rPr>
        <w:i/>
      </w:rPr>
      <w:t>Noviem</w:t>
    </w:r>
    <w:r w:rsidRPr="00DF681A">
      <w:rPr>
        <w:i/>
      </w:rPr>
      <w:t>bre  2011</w:t>
    </w:r>
  </w:p>
  <w:p w:rsidR="00DB21F1" w:rsidRDefault="00DB21F1" w:rsidP="00253F18">
    <w:pPr>
      <w:pStyle w:val="Encabezado"/>
    </w:pPr>
  </w:p>
  <w:p w:rsidR="00DB21F1" w:rsidRDefault="00DB21F1" w:rsidP="00253F18">
    <w:pPr>
      <w:pStyle w:val="Encabezado"/>
    </w:pPr>
  </w:p>
  <w:p w:rsidR="00DB21F1" w:rsidRDefault="00DB21F1" w:rsidP="00253F18">
    <w:pPr>
      <w:pStyle w:val="Encabezado"/>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534E39" w:rsidP="00253F18">
    <w:pPr>
      <w:pStyle w:val="Encabezado"/>
      <w:rPr>
        <w:i/>
      </w:rPr>
    </w:pPr>
    <w:r>
      <w:rPr>
        <w:i/>
      </w:rPr>
      <w:t>Síntesis Económica de Piura Noviembre</w:t>
    </w:r>
    <w:r w:rsidR="00DB21F1">
      <w:rPr>
        <w:i/>
      </w:rPr>
      <w:t xml:space="preserve"> 2011</w:t>
    </w:r>
  </w:p>
  <w:p w:rsidR="00DB21F1" w:rsidRDefault="00DB21F1">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DF681A" w:rsidRDefault="00DB21F1" w:rsidP="00253F18">
    <w:pPr>
      <w:pStyle w:val="Encabezado"/>
      <w:rPr>
        <w:i/>
      </w:rPr>
    </w:pPr>
    <w:r w:rsidRPr="00DF681A">
      <w:rPr>
        <w:i/>
      </w:rPr>
      <w:t xml:space="preserve">Síntesis Económica de Piura </w:t>
    </w:r>
    <w:r>
      <w:rPr>
        <w:i/>
      </w:rPr>
      <w:t>Noviembre</w:t>
    </w:r>
    <w:r w:rsidRPr="00DF681A">
      <w:rPr>
        <w:i/>
      </w:rPr>
      <w:t xml:space="preserve"> 2011</w:t>
    </w:r>
  </w:p>
  <w:p w:rsidR="00DB21F1" w:rsidRDefault="00DB21F1" w:rsidP="00253F18">
    <w:pPr>
      <w:pStyle w:val="Encabezad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Pr="00165A89" w:rsidRDefault="00DB21F1" w:rsidP="00253F18">
    <w:pPr>
      <w:pStyle w:val="Encabezado"/>
      <w:rPr>
        <w:i/>
      </w:rPr>
    </w:pPr>
    <w:r w:rsidRPr="00165A89">
      <w:rPr>
        <w:i/>
      </w:rPr>
      <w:t>Síntesis Económica de Piura</w:t>
    </w:r>
    <w:r>
      <w:t xml:space="preserve"> </w:t>
    </w:r>
    <w:r w:rsidRPr="00165A89">
      <w:rPr>
        <w:i/>
      </w:rPr>
      <w:t>Noviembre  2011</w:t>
    </w:r>
  </w:p>
  <w:p w:rsidR="00DB21F1" w:rsidRDefault="00DB21F1"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rPr>
        <w:i/>
      </w:rPr>
    </w:pPr>
    <w:r>
      <w:rPr>
        <w:i/>
      </w:rPr>
      <w:t>Síntesis Económica de Piura Noviembre  2011</w:t>
    </w:r>
  </w:p>
  <w:p w:rsidR="00DB21F1" w:rsidRDefault="00DB21F1"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21F1" w:rsidRDefault="00DB21F1" w:rsidP="00253F18">
    <w:pPr>
      <w:pStyle w:val="Encabezado"/>
    </w:pPr>
    <w:r>
      <w:t>Síntesis Económica de Piura Febrero 2011</w:t>
    </w:r>
  </w:p>
  <w:p w:rsidR="00DB21F1" w:rsidRDefault="00DB21F1"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83970">
      <o:colormenu v:ext="edit" strokecolor="none"/>
    </o:shapedefaults>
  </w:hdrShapeDefaults>
  <w:footnotePr>
    <w:footnote w:id="-1"/>
    <w:footnote w:id="0"/>
  </w:footnotePr>
  <w:endnotePr>
    <w:endnote w:id="-1"/>
    <w:endnote w:id="0"/>
  </w:endnotePr>
  <w:compat/>
  <w:rsids>
    <w:rsidRoot w:val="00317274"/>
    <w:rsid w:val="000006EB"/>
    <w:rsid w:val="00003F85"/>
    <w:rsid w:val="00005AFD"/>
    <w:rsid w:val="00011A40"/>
    <w:rsid w:val="00020C5A"/>
    <w:rsid w:val="00022B17"/>
    <w:rsid w:val="00024075"/>
    <w:rsid w:val="000271A9"/>
    <w:rsid w:val="000319BC"/>
    <w:rsid w:val="00031C43"/>
    <w:rsid w:val="00034490"/>
    <w:rsid w:val="00035D28"/>
    <w:rsid w:val="00037F5B"/>
    <w:rsid w:val="00041EEA"/>
    <w:rsid w:val="00045694"/>
    <w:rsid w:val="000458D5"/>
    <w:rsid w:val="000540B7"/>
    <w:rsid w:val="00054AAC"/>
    <w:rsid w:val="00055928"/>
    <w:rsid w:val="00060440"/>
    <w:rsid w:val="00061BF1"/>
    <w:rsid w:val="00063236"/>
    <w:rsid w:val="00065132"/>
    <w:rsid w:val="000655B4"/>
    <w:rsid w:val="00066EF9"/>
    <w:rsid w:val="0007002A"/>
    <w:rsid w:val="000706A7"/>
    <w:rsid w:val="000711CB"/>
    <w:rsid w:val="00072E3C"/>
    <w:rsid w:val="000746D5"/>
    <w:rsid w:val="0007754A"/>
    <w:rsid w:val="0008127B"/>
    <w:rsid w:val="00081A8C"/>
    <w:rsid w:val="00081AA1"/>
    <w:rsid w:val="00083232"/>
    <w:rsid w:val="0008391D"/>
    <w:rsid w:val="00087042"/>
    <w:rsid w:val="000910F0"/>
    <w:rsid w:val="00092396"/>
    <w:rsid w:val="00093345"/>
    <w:rsid w:val="00094770"/>
    <w:rsid w:val="00096BB9"/>
    <w:rsid w:val="000A61A7"/>
    <w:rsid w:val="000B0AFA"/>
    <w:rsid w:val="000B0C0B"/>
    <w:rsid w:val="000B0ED6"/>
    <w:rsid w:val="000B0FF8"/>
    <w:rsid w:val="000B1811"/>
    <w:rsid w:val="000B2256"/>
    <w:rsid w:val="000B312D"/>
    <w:rsid w:val="000B659B"/>
    <w:rsid w:val="000B72FD"/>
    <w:rsid w:val="000C33D4"/>
    <w:rsid w:val="000C45A7"/>
    <w:rsid w:val="000D03DD"/>
    <w:rsid w:val="000D1039"/>
    <w:rsid w:val="000D3447"/>
    <w:rsid w:val="000D5057"/>
    <w:rsid w:val="000D5F4F"/>
    <w:rsid w:val="000D7A92"/>
    <w:rsid w:val="000E2291"/>
    <w:rsid w:val="000E48B0"/>
    <w:rsid w:val="00100434"/>
    <w:rsid w:val="00102682"/>
    <w:rsid w:val="001034E7"/>
    <w:rsid w:val="0010493D"/>
    <w:rsid w:val="001049D8"/>
    <w:rsid w:val="00104C7C"/>
    <w:rsid w:val="00104EBB"/>
    <w:rsid w:val="00115098"/>
    <w:rsid w:val="00121505"/>
    <w:rsid w:val="001240D6"/>
    <w:rsid w:val="001246BE"/>
    <w:rsid w:val="00124A56"/>
    <w:rsid w:val="00124F05"/>
    <w:rsid w:val="00126019"/>
    <w:rsid w:val="00132636"/>
    <w:rsid w:val="00133ACC"/>
    <w:rsid w:val="00137FE2"/>
    <w:rsid w:val="001414E7"/>
    <w:rsid w:val="00143142"/>
    <w:rsid w:val="00143594"/>
    <w:rsid w:val="00146CCF"/>
    <w:rsid w:val="00153DDC"/>
    <w:rsid w:val="00156426"/>
    <w:rsid w:val="00162C63"/>
    <w:rsid w:val="00164E59"/>
    <w:rsid w:val="00164E67"/>
    <w:rsid w:val="00165A89"/>
    <w:rsid w:val="00165FDA"/>
    <w:rsid w:val="00167108"/>
    <w:rsid w:val="0017100C"/>
    <w:rsid w:val="00171B10"/>
    <w:rsid w:val="00173855"/>
    <w:rsid w:val="00174C80"/>
    <w:rsid w:val="001779EE"/>
    <w:rsid w:val="0018005A"/>
    <w:rsid w:val="00180985"/>
    <w:rsid w:val="00180D9B"/>
    <w:rsid w:val="00181F6C"/>
    <w:rsid w:val="00184069"/>
    <w:rsid w:val="001843F3"/>
    <w:rsid w:val="00187E7A"/>
    <w:rsid w:val="0019373C"/>
    <w:rsid w:val="001965C4"/>
    <w:rsid w:val="00196EFE"/>
    <w:rsid w:val="001A4068"/>
    <w:rsid w:val="001B4EE1"/>
    <w:rsid w:val="001C30D2"/>
    <w:rsid w:val="001C335B"/>
    <w:rsid w:val="001C3764"/>
    <w:rsid w:val="001D065E"/>
    <w:rsid w:val="001D219A"/>
    <w:rsid w:val="001D42EB"/>
    <w:rsid w:val="001D6CBE"/>
    <w:rsid w:val="001E30D9"/>
    <w:rsid w:val="001F1DAB"/>
    <w:rsid w:val="001F23F5"/>
    <w:rsid w:val="001F2864"/>
    <w:rsid w:val="001F37F0"/>
    <w:rsid w:val="001F53A6"/>
    <w:rsid w:val="001F7E1E"/>
    <w:rsid w:val="00200F61"/>
    <w:rsid w:val="00207D85"/>
    <w:rsid w:val="0021270B"/>
    <w:rsid w:val="00216A75"/>
    <w:rsid w:val="00217541"/>
    <w:rsid w:val="00224122"/>
    <w:rsid w:val="0022668E"/>
    <w:rsid w:val="00227237"/>
    <w:rsid w:val="0023031E"/>
    <w:rsid w:val="00230F26"/>
    <w:rsid w:val="00231A2E"/>
    <w:rsid w:val="0023296E"/>
    <w:rsid w:val="00234A64"/>
    <w:rsid w:val="00235AC7"/>
    <w:rsid w:val="00237060"/>
    <w:rsid w:val="00237F82"/>
    <w:rsid w:val="00247CFD"/>
    <w:rsid w:val="00247D2D"/>
    <w:rsid w:val="0025185B"/>
    <w:rsid w:val="00253F18"/>
    <w:rsid w:val="00255E25"/>
    <w:rsid w:val="002560B5"/>
    <w:rsid w:val="0025752E"/>
    <w:rsid w:val="002667FB"/>
    <w:rsid w:val="002724C9"/>
    <w:rsid w:val="00274158"/>
    <w:rsid w:val="002745B2"/>
    <w:rsid w:val="00276CEE"/>
    <w:rsid w:val="00282C48"/>
    <w:rsid w:val="00283FAF"/>
    <w:rsid w:val="002873D0"/>
    <w:rsid w:val="00290A92"/>
    <w:rsid w:val="00294D9F"/>
    <w:rsid w:val="002A165E"/>
    <w:rsid w:val="002A3CA0"/>
    <w:rsid w:val="002A467B"/>
    <w:rsid w:val="002A5663"/>
    <w:rsid w:val="002A69F6"/>
    <w:rsid w:val="002B28EB"/>
    <w:rsid w:val="002B5C33"/>
    <w:rsid w:val="002B6215"/>
    <w:rsid w:val="002B73C1"/>
    <w:rsid w:val="002B7EE6"/>
    <w:rsid w:val="002C0BCE"/>
    <w:rsid w:val="002D08BC"/>
    <w:rsid w:val="002D1CB3"/>
    <w:rsid w:val="002D38A2"/>
    <w:rsid w:val="002E1C48"/>
    <w:rsid w:val="002E351C"/>
    <w:rsid w:val="002E39DD"/>
    <w:rsid w:val="002E3F59"/>
    <w:rsid w:val="002E524C"/>
    <w:rsid w:val="002E72E7"/>
    <w:rsid w:val="002F0DBF"/>
    <w:rsid w:val="002F0DD4"/>
    <w:rsid w:val="002F1E9F"/>
    <w:rsid w:val="002F3A24"/>
    <w:rsid w:val="002F5175"/>
    <w:rsid w:val="002F553A"/>
    <w:rsid w:val="002F7F3B"/>
    <w:rsid w:val="003017E5"/>
    <w:rsid w:val="00310B9A"/>
    <w:rsid w:val="00313ED4"/>
    <w:rsid w:val="0031546D"/>
    <w:rsid w:val="003167C8"/>
    <w:rsid w:val="00317274"/>
    <w:rsid w:val="00321BF6"/>
    <w:rsid w:val="00322B22"/>
    <w:rsid w:val="00324EBF"/>
    <w:rsid w:val="00325E57"/>
    <w:rsid w:val="00333A50"/>
    <w:rsid w:val="00333F34"/>
    <w:rsid w:val="003400BA"/>
    <w:rsid w:val="00350BC3"/>
    <w:rsid w:val="0035146A"/>
    <w:rsid w:val="00354A38"/>
    <w:rsid w:val="00355C63"/>
    <w:rsid w:val="003600FD"/>
    <w:rsid w:val="003608D7"/>
    <w:rsid w:val="003629CA"/>
    <w:rsid w:val="00365C4D"/>
    <w:rsid w:val="003673F5"/>
    <w:rsid w:val="003711B6"/>
    <w:rsid w:val="00371EF0"/>
    <w:rsid w:val="003748DF"/>
    <w:rsid w:val="00375873"/>
    <w:rsid w:val="00376BA8"/>
    <w:rsid w:val="00377929"/>
    <w:rsid w:val="003812B9"/>
    <w:rsid w:val="00387E30"/>
    <w:rsid w:val="00390FE3"/>
    <w:rsid w:val="00393AE8"/>
    <w:rsid w:val="00395223"/>
    <w:rsid w:val="00397D2F"/>
    <w:rsid w:val="003A140D"/>
    <w:rsid w:val="003A14E5"/>
    <w:rsid w:val="003A2555"/>
    <w:rsid w:val="003A2A23"/>
    <w:rsid w:val="003A3507"/>
    <w:rsid w:val="003A47DD"/>
    <w:rsid w:val="003A5D42"/>
    <w:rsid w:val="003A7CA7"/>
    <w:rsid w:val="003B2377"/>
    <w:rsid w:val="003B2F07"/>
    <w:rsid w:val="003B30E9"/>
    <w:rsid w:val="003B39CB"/>
    <w:rsid w:val="003B7B43"/>
    <w:rsid w:val="003C50DC"/>
    <w:rsid w:val="003C6026"/>
    <w:rsid w:val="003D2D01"/>
    <w:rsid w:val="003D36A9"/>
    <w:rsid w:val="003D4908"/>
    <w:rsid w:val="003D6C32"/>
    <w:rsid w:val="003E0380"/>
    <w:rsid w:val="003E2F1B"/>
    <w:rsid w:val="003E38DE"/>
    <w:rsid w:val="003E3AE3"/>
    <w:rsid w:val="003E41DD"/>
    <w:rsid w:val="003E4BC2"/>
    <w:rsid w:val="003E533E"/>
    <w:rsid w:val="003E644C"/>
    <w:rsid w:val="003F1C67"/>
    <w:rsid w:val="003F24B8"/>
    <w:rsid w:val="003F5375"/>
    <w:rsid w:val="003F61E9"/>
    <w:rsid w:val="00401ADA"/>
    <w:rsid w:val="00401CA7"/>
    <w:rsid w:val="00401F3D"/>
    <w:rsid w:val="00402939"/>
    <w:rsid w:val="00410C3A"/>
    <w:rsid w:val="00413033"/>
    <w:rsid w:val="0041597C"/>
    <w:rsid w:val="00416000"/>
    <w:rsid w:val="004175B5"/>
    <w:rsid w:val="004217C4"/>
    <w:rsid w:val="00421E7E"/>
    <w:rsid w:val="00423A5A"/>
    <w:rsid w:val="00432EEE"/>
    <w:rsid w:val="0043754D"/>
    <w:rsid w:val="00447E07"/>
    <w:rsid w:val="00456515"/>
    <w:rsid w:val="004565F2"/>
    <w:rsid w:val="00461929"/>
    <w:rsid w:val="00461F45"/>
    <w:rsid w:val="004651BA"/>
    <w:rsid w:val="004657DD"/>
    <w:rsid w:val="0047037A"/>
    <w:rsid w:val="00475595"/>
    <w:rsid w:val="004833F8"/>
    <w:rsid w:val="00483779"/>
    <w:rsid w:val="00483950"/>
    <w:rsid w:val="0048395D"/>
    <w:rsid w:val="00487180"/>
    <w:rsid w:val="004872E8"/>
    <w:rsid w:val="00494BB5"/>
    <w:rsid w:val="00495AAB"/>
    <w:rsid w:val="00496397"/>
    <w:rsid w:val="004970F1"/>
    <w:rsid w:val="004A02A7"/>
    <w:rsid w:val="004A1B20"/>
    <w:rsid w:val="004A1D64"/>
    <w:rsid w:val="004A4D78"/>
    <w:rsid w:val="004B07B9"/>
    <w:rsid w:val="004B1E6C"/>
    <w:rsid w:val="004B3B47"/>
    <w:rsid w:val="004B578A"/>
    <w:rsid w:val="004C19C0"/>
    <w:rsid w:val="004C2FE0"/>
    <w:rsid w:val="004C3CD7"/>
    <w:rsid w:val="004C5B2C"/>
    <w:rsid w:val="004C6164"/>
    <w:rsid w:val="004C7447"/>
    <w:rsid w:val="004D760B"/>
    <w:rsid w:val="004E17E0"/>
    <w:rsid w:val="004E61E3"/>
    <w:rsid w:val="004E6795"/>
    <w:rsid w:val="004E68B5"/>
    <w:rsid w:val="004E6F7E"/>
    <w:rsid w:val="004F1880"/>
    <w:rsid w:val="004F31E6"/>
    <w:rsid w:val="004F4CC2"/>
    <w:rsid w:val="004F51D8"/>
    <w:rsid w:val="00500249"/>
    <w:rsid w:val="00500706"/>
    <w:rsid w:val="00505CDB"/>
    <w:rsid w:val="005063B4"/>
    <w:rsid w:val="0051182A"/>
    <w:rsid w:val="00511BE4"/>
    <w:rsid w:val="0051565F"/>
    <w:rsid w:val="0052052B"/>
    <w:rsid w:val="00520B0A"/>
    <w:rsid w:val="0052453D"/>
    <w:rsid w:val="0052573A"/>
    <w:rsid w:val="00530AB2"/>
    <w:rsid w:val="00533B14"/>
    <w:rsid w:val="00533D57"/>
    <w:rsid w:val="00534E39"/>
    <w:rsid w:val="00540360"/>
    <w:rsid w:val="00540724"/>
    <w:rsid w:val="005424DD"/>
    <w:rsid w:val="005435FE"/>
    <w:rsid w:val="00547AA1"/>
    <w:rsid w:val="0056151F"/>
    <w:rsid w:val="005713F6"/>
    <w:rsid w:val="0057590E"/>
    <w:rsid w:val="00580B57"/>
    <w:rsid w:val="00582F7A"/>
    <w:rsid w:val="005839BB"/>
    <w:rsid w:val="005848B3"/>
    <w:rsid w:val="00585BE3"/>
    <w:rsid w:val="00587D2D"/>
    <w:rsid w:val="0059212D"/>
    <w:rsid w:val="00594DAB"/>
    <w:rsid w:val="005A48E3"/>
    <w:rsid w:val="005A4C43"/>
    <w:rsid w:val="005A7B6E"/>
    <w:rsid w:val="005B1549"/>
    <w:rsid w:val="005B5FC0"/>
    <w:rsid w:val="005B7A80"/>
    <w:rsid w:val="005B7CE2"/>
    <w:rsid w:val="005C5292"/>
    <w:rsid w:val="005C5D2F"/>
    <w:rsid w:val="005C674B"/>
    <w:rsid w:val="005D0716"/>
    <w:rsid w:val="005D0720"/>
    <w:rsid w:val="005D506F"/>
    <w:rsid w:val="005D77BE"/>
    <w:rsid w:val="005E2ABF"/>
    <w:rsid w:val="005E40D1"/>
    <w:rsid w:val="005F21EE"/>
    <w:rsid w:val="005F30A4"/>
    <w:rsid w:val="005F3B70"/>
    <w:rsid w:val="005F3D10"/>
    <w:rsid w:val="005F4C09"/>
    <w:rsid w:val="005F6F02"/>
    <w:rsid w:val="006021AF"/>
    <w:rsid w:val="0060601E"/>
    <w:rsid w:val="006062DB"/>
    <w:rsid w:val="00612894"/>
    <w:rsid w:val="006130B4"/>
    <w:rsid w:val="006150C4"/>
    <w:rsid w:val="006161C6"/>
    <w:rsid w:val="00617E6C"/>
    <w:rsid w:val="0062054A"/>
    <w:rsid w:val="00621C85"/>
    <w:rsid w:val="00624CFB"/>
    <w:rsid w:val="00624EE2"/>
    <w:rsid w:val="00630A29"/>
    <w:rsid w:val="00633EE3"/>
    <w:rsid w:val="006342E2"/>
    <w:rsid w:val="006353B2"/>
    <w:rsid w:val="006369AE"/>
    <w:rsid w:val="00644567"/>
    <w:rsid w:val="006474DD"/>
    <w:rsid w:val="0065135F"/>
    <w:rsid w:val="00652D8E"/>
    <w:rsid w:val="006536D5"/>
    <w:rsid w:val="00660638"/>
    <w:rsid w:val="0066135D"/>
    <w:rsid w:val="006625FC"/>
    <w:rsid w:val="006640EA"/>
    <w:rsid w:val="0066485C"/>
    <w:rsid w:val="006658EC"/>
    <w:rsid w:val="006662A2"/>
    <w:rsid w:val="0067094D"/>
    <w:rsid w:val="00670E44"/>
    <w:rsid w:val="0067160A"/>
    <w:rsid w:val="00675AA8"/>
    <w:rsid w:val="00675F1C"/>
    <w:rsid w:val="00683ACD"/>
    <w:rsid w:val="0068486E"/>
    <w:rsid w:val="006852A5"/>
    <w:rsid w:val="00690444"/>
    <w:rsid w:val="006906BA"/>
    <w:rsid w:val="00690A9B"/>
    <w:rsid w:val="006938EA"/>
    <w:rsid w:val="006940B1"/>
    <w:rsid w:val="00694E3F"/>
    <w:rsid w:val="00696EC6"/>
    <w:rsid w:val="00696EC8"/>
    <w:rsid w:val="00697934"/>
    <w:rsid w:val="006A057A"/>
    <w:rsid w:val="006A118D"/>
    <w:rsid w:val="006A1659"/>
    <w:rsid w:val="006A181B"/>
    <w:rsid w:val="006A29C8"/>
    <w:rsid w:val="006B052E"/>
    <w:rsid w:val="006B2E1E"/>
    <w:rsid w:val="006B3FA8"/>
    <w:rsid w:val="006C4497"/>
    <w:rsid w:val="006C4C96"/>
    <w:rsid w:val="006C6640"/>
    <w:rsid w:val="006D2A9D"/>
    <w:rsid w:val="006E494B"/>
    <w:rsid w:val="006F394D"/>
    <w:rsid w:val="006F5BC2"/>
    <w:rsid w:val="006F75F1"/>
    <w:rsid w:val="00701F15"/>
    <w:rsid w:val="00701F39"/>
    <w:rsid w:val="00702B4E"/>
    <w:rsid w:val="00703496"/>
    <w:rsid w:val="007046AE"/>
    <w:rsid w:val="00704B80"/>
    <w:rsid w:val="00712D30"/>
    <w:rsid w:val="00715721"/>
    <w:rsid w:val="00717519"/>
    <w:rsid w:val="00723547"/>
    <w:rsid w:val="00732C08"/>
    <w:rsid w:val="007345AA"/>
    <w:rsid w:val="00734B29"/>
    <w:rsid w:val="0073517A"/>
    <w:rsid w:val="00735C2D"/>
    <w:rsid w:val="0073649C"/>
    <w:rsid w:val="0074133B"/>
    <w:rsid w:val="00741C8C"/>
    <w:rsid w:val="00744041"/>
    <w:rsid w:val="00746ABA"/>
    <w:rsid w:val="00771301"/>
    <w:rsid w:val="00772711"/>
    <w:rsid w:val="007740FD"/>
    <w:rsid w:val="00774B1B"/>
    <w:rsid w:val="0078121F"/>
    <w:rsid w:val="007824FA"/>
    <w:rsid w:val="00782704"/>
    <w:rsid w:val="00784451"/>
    <w:rsid w:val="00787C8B"/>
    <w:rsid w:val="00791033"/>
    <w:rsid w:val="00792527"/>
    <w:rsid w:val="007A0205"/>
    <w:rsid w:val="007A47B0"/>
    <w:rsid w:val="007A4FC6"/>
    <w:rsid w:val="007A53DA"/>
    <w:rsid w:val="007A5D2F"/>
    <w:rsid w:val="007B01F9"/>
    <w:rsid w:val="007B17A2"/>
    <w:rsid w:val="007B47FE"/>
    <w:rsid w:val="007C10D5"/>
    <w:rsid w:val="007C23F9"/>
    <w:rsid w:val="007C2C5C"/>
    <w:rsid w:val="007C36CC"/>
    <w:rsid w:val="007C5414"/>
    <w:rsid w:val="007D136B"/>
    <w:rsid w:val="007D45E0"/>
    <w:rsid w:val="007D62CD"/>
    <w:rsid w:val="007D7F94"/>
    <w:rsid w:val="007E0019"/>
    <w:rsid w:val="007E0A39"/>
    <w:rsid w:val="007E0B4C"/>
    <w:rsid w:val="007E235B"/>
    <w:rsid w:val="007E2AB8"/>
    <w:rsid w:val="007E4338"/>
    <w:rsid w:val="007E4DD8"/>
    <w:rsid w:val="007E5026"/>
    <w:rsid w:val="007E54D7"/>
    <w:rsid w:val="007E7C91"/>
    <w:rsid w:val="007F106F"/>
    <w:rsid w:val="007F169A"/>
    <w:rsid w:val="007F4042"/>
    <w:rsid w:val="007F5CE7"/>
    <w:rsid w:val="007F6778"/>
    <w:rsid w:val="007F6EB1"/>
    <w:rsid w:val="007F77EB"/>
    <w:rsid w:val="00802D0F"/>
    <w:rsid w:val="008033D2"/>
    <w:rsid w:val="0080411C"/>
    <w:rsid w:val="00804B84"/>
    <w:rsid w:val="0080647F"/>
    <w:rsid w:val="0081017D"/>
    <w:rsid w:val="00810FBA"/>
    <w:rsid w:val="00813440"/>
    <w:rsid w:val="00827A4E"/>
    <w:rsid w:val="008302D7"/>
    <w:rsid w:val="008327F0"/>
    <w:rsid w:val="00834A07"/>
    <w:rsid w:val="008414B4"/>
    <w:rsid w:val="008441CC"/>
    <w:rsid w:val="0084420C"/>
    <w:rsid w:val="00847577"/>
    <w:rsid w:val="00852557"/>
    <w:rsid w:val="00852AB9"/>
    <w:rsid w:val="00854926"/>
    <w:rsid w:val="0085623C"/>
    <w:rsid w:val="0085715D"/>
    <w:rsid w:val="00870851"/>
    <w:rsid w:val="00870D58"/>
    <w:rsid w:val="00875B93"/>
    <w:rsid w:val="00875FDF"/>
    <w:rsid w:val="00880326"/>
    <w:rsid w:val="00882560"/>
    <w:rsid w:val="00884018"/>
    <w:rsid w:val="00885170"/>
    <w:rsid w:val="00885B95"/>
    <w:rsid w:val="00887B01"/>
    <w:rsid w:val="00892083"/>
    <w:rsid w:val="00892601"/>
    <w:rsid w:val="0089517E"/>
    <w:rsid w:val="00895A44"/>
    <w:rsid w:val="008961CB"/>
    <w:rsid w:val="008A1412"/>
    <w:rsid w:val="008A1807"/>
    <w:rsid w:val="008B0087"/>
    <w:rsid w:val="008B02AE"/>
    <w:rsid w:val="008B0ACB"/>
    <w:rsid w:val="008B1320"/>
    <w:rsid w:val="008B3CC1"/>
    <w:rsid w:val="008B3DA2"/>
    <w:rsid w:val="008C36C2"/>
    <w:rsid w:val="008C5027"/>
    <w:rsid w:val="008D1BAE"/>
    <w:rsid w:val="008D2A0F"/>
    <w:rsid w:val="008D2D46"/>
    <w:rsid w:val="008D30F3"/>
    <w:rsid w:val="008D3956"/>
    <w:rsid w:val="008D4F1A"/>
    <w:rsid w:val="008D5AD5"/>
    <w:rsid w:val="008E2B3B"/>
    <w:rsid w:val="008E2D06"/>
    <w:rsid w:val="008E6266"/>
    <w:rsid w:val="008E7DF5"/>
    <w:rsid w:val="008F2403"/>
    <w:rsid w:val="008F30DE"/>
    <w:rsid w:val="008F36D3"/>
    <w:rsid w:val="008F7B3E"/>
    <w:rsid w:val="00900281"/>
    <w:rsid w:val="0090046B"/>
    <w:rsid w:val="00902385"/>
    <w:rsid w:val="00902B9F"/>
    <w:rsid w:val="009037CD"/>
    <w:rsid w:val="00904E9D"/>
    <w:rsid w:val="00905456"/>
    <w:rsid w:val="00905F55"/>
    <w:rsid w:val="00907111"/>
    <w:rsid w:val="00910EEE"/>
    <w:rsid w:val="0091183C"/>
    <w:rsid w:val="00915070"/>
    <w:rsid w:val="00920752"/>
    <w:rsid w:val="00922081"/>
    <w:rsid w:val="00926274"/>
    <w:rsid w:val="00933DAA"/>
    <w:rsid w:val="00936F33"/>
    <w:rsid w:val="00943D87"/>
    <w:rsid w:val="009504F9"/>
    <w:rsid w:val="00953A95"/>
    <w:rsid w:val="0095592E"/>
    <w:rsid w:val="009629E2"/>
    <w:rsid w:val="00964110"/>
    <w:rsid w:val="00964DE4"/>
    <w:rsid w:val="009703C5"/>
    <w:rsid w:val="00972AD9"/>
    <w:rsid w:val="00973EC3"/>
    <w:rsid w:val="009741AF"/>
    <w:rsid w:val="00976F0F"/>
    <w:rsid w:val="009775BB"/>
    <w:rsid w:val="00983EDA"/>
    <w:rsid w:val="009856FE"/>
    <w:rsid w:val="00985ACD"/>
    <w:rsid w:val="00986626"/>
    <w:rsid w:val="00986A53"/>
    <w:rsid w:val="00986C9D"/>
    <w:rsid w:val="00987445"/>
    <w:rsid w:val="009A147B"/>
    <w:rsid w:val="009A1AFB"/>
    <w:rsid w:val="009A275F"/>
    <w:rsid w:val="009A2B5A"/>
    <w:rsid w:val="009A3622"/>
    <w:rsid w:val="009A5A8D"/>
    <w:rsid w:val="009B73D8"/>
    <w:rsid w:val="009C4777"/>
    <w:rsid w:val="009D0A9C"/>
    <w:rsid w:val="009D2824"/>
    <w:rsid w:val="009D31BD"/>
    <w:rsid w:val="009D3499"/>
    <w:rsid w:val="009D3FA5"/>
    <w:rsid w:val="009D4F92"/>
    <w:rsid w:val="009D5B9B"/>
    <w:rsid w:val="009D7A81"/>
    <w:rsid w:val="009E0FB2"/>
    <w:rsid w:val="009E2E3D"/>
    <w:rsid w:val="009E4267"/>
    <w:rsid w:val="009E5BB4"/>
    <w:rsid w:val="009F106C"/>
    <w:rsid w:val="009F1574"/>
    <w:rsid w:val="009F1C8C"/>
    <w:rsid w:val="00A0213C"/>
    <w:rsid w:val="00A02526"/>
    <w:rsid w:val="00A03EDF"/>
    <w:rsid w:val="00A05534"/>
    <w:rsid w:val="00A105B2"/>
    <w:rsid w:val="00A11E98"/>
    <w:rsid w:val="00A148A3"/>
    <w:rsid w:val="00A14DB6"/>
    <w:rsid w:val="00A1622C"/>
    <w:rsid w:val="00A25586"/>
    <w:rsid w:val="00A26D94"/>
    <w:rsid w:val="00A26DDE"/>
    <w:rsid w:val="00A26EC7"/>
    <w:rsid w:val="00A270E0"/>
    <w:rsid w:val="00A31A23"/>
    <w:rsid w:val="00A32360"/>
    <w:rsid w:val="00A34203"/>
    <w:rsid w:val="00A34717"/>
    <w:rsid w:val="00A352FA"/>
    <w:rsid w:val="00A3588F"/>
    <w:rsid w:val="00A4194C"/>
    <w:rsid w:val="00A42098"/>
    <w:rsid w:val="00A45A45"/>
    <w:rsid w:val="00A46E5A"/>
    <w:rsid w:val="00A5437A"/>
    <w:rsid w:val="00A54D3A"/>
    <w:rsid w:val="00A57594"/>
    <w:rsid w:val="00A67DB4"/>
    <w:rsid w:val="00A70C73"/>
    <w:rsid w:val="00A72EC1"/>
    <w:rsid w:val="00A73EF5"/>
    <w:rsid w:val="00A750BA"/>
    <w:rsid w:val="00A77DF5"/>
    <w:rsid w:val="00A80A1B"/>
    <w:rsid w:val="00A84451"/>
    <w:rsid w:val="00A8605A"/>
    <w:rsid w:val="00A86683"/>
    <w:rsid w:val="00AA1086"/>
    <w:rsid w:val="00AA1776"/>
    <w:rsid w:val="00AA2C54"/>
    <w:rsid w:val="00AA68C5"/>
    <w:rsid w:val="00AB2CA4"/>
    <w:rsid w:val="00AB4DF6"/>
    <w:rsid w:val="00AB6DAF"/>
    <w:rsid w:val="00AB7A70"/>
    <w:rsid w:val="00AB7ED5"/>
    <w:rsid w:val="00AC0647"/>
    <w:rsid w:val="00AC13A3"/>
    <w:rsid w:val="00AC3F0F"/>
    <w:rsid w:val="00AD1123"/>
    <w:rsid w:val="00AD1ACD"/>
    <w:rsid w:val="00AD1D0C"/>
    <w:rsid w:val="00AD2043"/>
    <w:rsid w:val="00AD6A3B"/>
    <w:rsid w:val="00AE148F"/>
    <w:rsid w:val="00AE1D4E"/>
    <w:rsid w:val="00AE28C5"/>
    <w:rsid w:val="00AE2C26"/>
    <w:rsid w:val="00AE37CC"/>
    <w:rsid w:val="00AE57B8"/>
    <w:rsid w:val="00AE5AD4"/>
    <w:rsid w:val="00AE6F42"/>
    <w:rsid w:val="00AF37F9"/>
    <w:rsid w:val="00AF49E8"/>
    <w:rsid w:val="00AF4EAE"/>
    <w:rsid w:val="00AF5947"/>
    <w:rsid w:val="00AF5DFD"/>
    <w:rsid w:val="00AF73DC"/>
    <w:rsid w:val="00B00B0F"/>
    <w:rsid w:val="00B06031"/>
    <w:rsid w:val="00B06692"/>
    <w:rsid w:val="00B10855"/>
    <w:rsid w:val="00B12FDB"/>
    <w:rsid w:val="00B20CC0"/>
    <w:rsid w:val="00B22461"/>
    <w:rsid w:val="00B225F2"/>
    <w:rsid w:val="00B235F6"/>
    <w:rsid w:val="00B33750"/>
    <w:rsid w:val="00B34951"/>
    <w:rsid w:val="00B34C6A"/>
    <w:rsid w:val="00B36D56"/>
    <w:rsid w:val="00B452DF"/>
    <w:rsid w:val="00B454BF"/>
    <w:rsid w:val="00B50313"/>
    <w:rsid w:val="00B50384"/>
    <w:rsid w:val="00B54CAE"/>
    <w:rsid w:val="00B603DD"/>
    <w:rsid w:val="00B63348"/>
    <w:rsid w:val="00B63CB2"/>
    <w:rsid w:val="00B640CF"/>
    <w:rsid w:val="00B660CB"/>
    <w:rsid w:val="00B6619C"/>
    <w:rsid w:val="00B668F2"/>
    <w:rsid w:val="00B669D7"/>
    <w:rsid w:val="00B67ED6"/>
    <w:rsid w:val="00B71374"/>
    <w:rsid w:val="00B73490"/>
    <w:rsid w:val="00B73F4A"/>
    <w:rsid w:val="00B74DED"/>
    <w:rsid w:val="00B76E0C"/>
    <w:rsid w:val="00B774C3"/>
    <w:rsid w:val="00B81839"/>
    <w:rsid w:val="00B85C23"/>
    <w:rsid w:val="00B877C3"/>
    <w:rsid w:val="00B87AD1"/>
    <w:rsid w:val="00B90E02"/>
    <w:rsid w:val="00B93557"/>
    <w:rsid w:val="00B93F81"/>
    <w:rsid w:val="00B94717"/>
    <w:rsid w:val="00B94A1B"/>
    <w:rsid w:val="00BA090C"/>
    <w:rsid w:val="00BA33BA"/>
    <w:rsid w:val="00BA41E1"/>
    <w:rsid w:val="00BB1440"/>
    <w:rsid w:val="00BB1E3B"/>
    <w:rsid w:val="00BB34DC"/>
    <w:rsid w:val="00BB6AB5"/>
    <w:rsid w:val="00BC06F4"/>
    <w:rsid w:val="00BC5C7F"/>
    <w:rsid w:val="00BC7159"/>
    <w:rsid w:val="00BD0CC1"/>
    <w:rsid w:val="00BD1D0A"/>
    <w:rsid w:val="00BD4776"/>
    <w:rsid w:val="00BD4F42"/>
    <w:rsid w:val="00BE0FC1"/>
    <w:rsid w:val="00BE3C15"/>
    <w:rsid w:val="00BE5406"/>
    <w:rsid w:val="00BE5C10"/>
    <w:rsid w:val="00BE6DEC"/>
    <w:rsid w:val="00BE7065"/>
    <w:rsid w:val="00BF3334"/>
    <w:rsid w:val="00BF5A05"/>
    <w:rsid w:val="00BF7C93"/>
    <w:rsid w:val="00C021DF"/>
    <w:rsid w:val="00C03F59"/>
    <w:rsid w:val="00C04590"/>
    <w:rsid w:val="00C053FA"/>
    <w:rsid w:val="00C10E5E"/>
    <w:rsid w:val="00C11ED5"/>
    <w:rsid w:val="00C12C2C"/>
    <w:rsid w:val="00C15089"/>
    <w:rsid w:val="00C15339"/>
    <w:rsid w:val="00C2053E"/>
    <w:rsid w:val="00C205B9"/>
    <w:rsid w:val="00C20FD7"/>
    <w:rsid w:val="00C249F3"/>
    <w:rsid w:val="00C30C83"/>
    <w:rsid w:val="00C33005"/>
    <w:rsid w:val="00C33ED6"/>
    <w:rsid w:val="00C353AE"/>
    <w:rsid w:val="00C403A1"/>
    <w:rsid w:val="00C4086C"/>
    <w:rsid w:val="00C40AB3"/>
    <w:rsid w:val="00C50A1F"/>
    <w:rsid w:val="00C51A20"/>
    <w:rsid w:val="00C538DC"/>
    <w:rsid w:val="00C54324"/>
    <w:rsid w:val="00C549EE"/>
    <w:rsid w:val="00C5521E"/>
    <w:rsid w:val="00C603E1"/>
    <w:rsid w:val="00C6389F"/>
    <w:rsid w:val="00C6451A"/>
    <w:rsid w:val="00C647A0"/>
    <w:rsid w:val="00C67E97"/>
    <w:rsid w:val="00C70F66"/>
    <w:rsid w:val="00C751A6"/>
    <w:rsid w:val="00C77B75"/>
    <w:rsid w:val="00C811E4"/>
    <w:rsid w:val="00C83B31"/>
    <w:rsid w:val="00C84313"/>
    <w:rsid w:val="00C86B0B"/>
    <w:rsid w:val="00C86BA7"/>
    <w:rsid w:val="00C879FC"/>
    <w:rsid w:val="00C87E1C"/>
    <w:rsid w:val="00C947CD"/>
    <w:rsid w:val="00C96BAF"/>
    <w:rsid w:val="00CA0356"/>
    <w:rsid w:val="00CA20E2"/>
    <w:rsid w:val="00CA7800"/>
    <w:rsid w:val="00CC087F"/>
    <w:rsid w:val="00CC102F"/>
    <w:rsid w:val="00CC3A51"/>
    <w:rsid w:val="00CC4BA6"/>
    <w:rsid w:val="00CD2302"/>
    <w:rsid w:val="00CD44C9"/>
    <w:rsid w:val="00CF0C94"/>
    <w:rsid w:val="00CF16C1"/>
    <w:rsid w:val="00CF1749"/>
    <w:rsid w:val="00CF4C31"/>
    <w:rsid w:val="00D00FE2"/>
    <w:rsid w:val="00D0530D"/>
    <w:rsid w:val="00D12664"/>
    <w:rsid w:val="00D1735C"/>
    <w:rsid w:val="00D17F45"/>
    <w:rsid w:val="00D252D5"/>
    <w:rsid w:val="00D26750"/>
    <w:rsid w:val="00D27033"/>
    <w:rsid w:val="00D27DDE"/>
    <w:rsid w:val="00D301DA"/>
    <w:rsid w:val="00D34E06"/>
    <w:rsid w:val="00D34F95"/>
    <w:rsid w:val="00D40B29"/>
    <w:rsid w:val="00D433B9"/>
    <w:rsid w:val="00D4438E"/>
    <w:rsid w:val="00D50655"/>
    <w:rsid w:val="00D514CC"/>
    <w:rsid w:val="00D51FC8"/>
    <w:rsid w:val="00D54ABD"/>
    <w:rsid w:val="00D54E2A"/>
    <w:rsid w:val="00D61378"/>
    <w:rsid w:val="00D61BDC"/>
    <w:rsid w:val="00D646A8"/>
    <w:rsid w:val="00D65860"/>
    <w:rsid w:val="00D70E7C"/>
    <w:rsid w:val="00D716FB"/>
    <w:rsid w:val="00D71C1C"/>
    <w:rsid w:val="00D71E33"/>
    <w:rsid w:val="00D74151"/>
    <w:rsid w:val="00D8014F"/>
    <w:rsid w:val="00D804CE"/>
    <w:rsid w:val="00D819DD"/>
    <w:rsid w:val="00D81B46"/>
    <w:rsid w:val="00D81B9A"/>
    <w:rsid w:val="00D823CB"/>
    <w:rsid w:val="00D84DA1"/>
    <w:rsid w:val="00D85603"/>
    <w:rsid w:val="00D900E4"/>
    <w:rsid w:val="00D90449"/>
    <w:rsid w:val="00D9364A"/>
    <w:rsid w:val="00D936AA"/>
    <w:rsid w:val="00D94733"/>
    <w:rsid w:val="00D9566C"/>
    <w:rsid w:val="00D95C35"/>
    <w:rsid w:val="00DA04AE"/>
    <w:rsid w:val="00DA1731"/>
    <w:rsid w:val="00DA29CD"/>
    <w:rsid w:val="00DA71A8"/>
    <w:rsid w:val="00DA74A9"/>
    <w:rsid w:val="00DB21F1"/>
    <w:rsid w:val="00DB3B04"/>
    <w:rsid w:val="00DB5977"/>
    <w:rsid w:val="00DB5CC1"/>
    <w:rsid w:val="00DB6E99"/>
    <w:rsid w:val="00DB70F1"/>
    <w:rsid w:val="00DC1AE9"/>
    <w:rsid w:val="00DC3060"/>
    <w:rsid w:val="00DD1094"/>
    <w:rsid w:val="00DD1A2F"/>
    <w:rsid w:val="00DD2D6C"/>
    <w:rsid w:val="00DD5316"/>
    <w:rsid w:val="00DD64C8"/>
    <w:rsid w:val="00DE36B5"/>
    <w:rsid w:val="00DE3A8A"/>
    <w:rsid w:val="00DE3B4C"/>
    <w:rsid w:val="00DE426E"/>
    <w:rsid w:val="00DE5F2F"/>
    <w:rsid w:val="00DE7BA6"/>
    <w:rsid w:val="00DE7F3A"/>
    <w:rsid w:val="00DF042A"/>
    <w:rsid w:val="00DF1E31"/>
    <w:rsid w:val="00DF2030"/>
    <w:rsid w:val="00DF4D9B"/>
    <w:rsid w:val="00DF681A"/>
    <w:rsid w:val="00DF6C0C"/>
    <w:rsid w:val="00DF7F25"/>
    <w:rsid w:val="00E00257"/>
    <w:rsid w:val="00E00938"/>
    <w:rsid w:val="00E00975"/>
    <w:rsid w:val="00E01C7A"/>
    <w:rsid w:val="00E041A3"/>
    <w:rsid w:val="00E06B22"/>
    <w:rsid w:val="00E11ED4"/>
    <w:rsid w:val="00E129FA"/>
    <w:rsid w:val="00E12E1C"/>
    <w:rsid w:val="00E15A6A"/>
    <w:rsid w:val="00E206A6"/>
    <w:rsid w:val="00E218CB"/>
    <w:rsid w:val="00E314E9"/>
    <w:rsid w:val="00E32280"/>
    <w:rsid w:val="00E33D2F"/>
    <w:rsid w:val="00E40F0D"/>
    <w:rsid w:val="00E4204A"/>
    <w:rsid w:val="00E422EF"/>
    <w:rsid w:val="00E424E4"/>
    <w:rsid w:val="00E43D55"/>
    <w:rsid w:val="00E47529"/>
    <w:rsid w:val="00E4771E"/>
    <w:rsid w:val="00E50827"/>
    <w:rsid w:val="00E50D75"/>
    <w:rsid w:val="00E54F90"/>
    <w:rsid w:val="00E61558"/>
    <w:rsid w:val="00E721BB"/>
    <w:rsid w:val="00E73C0C"/>
    <w:rsid w:val="00E746DB"/>
    <w:rsid w:val="00E74806"/>
    <w:rsid w:val="00E77C92"/>
    <w:rsid w:val="00E82B80"/>
    <w:rsid w:val="00E84942"/>
    <w:rsid w:val="00E84E8F"/>
    <w:rsid w:val="00E853DB"/>
    <w:rsid w:val="00E87090"/>
    <w:rsid w:val="00E951AE"/>
    <w:rsid w:val="00E971C0"/>
    <w:rsid w:val="00EA5D87"/>
    <w:rsid w:val="00EA6ACF"/>
    <w:rsid w:val="00EB11A1"/>
    <w:rsid w:val="00EB78F2"/>
    <w:rsid w:val="00EC207F"/>
    <w:rsid w:val="00EC6A73"/>
    <w:rsid w:val="00EC6A99"/>
    <w:rsid w:val="00ED157E"/>
    <w:rsid w:val="00ED1B8C"/>
    <w:rsid w:val="00ED321B"/>
    <w:rsid w:val="00ED4F9E"/>
    <w:rsid w:val="00EE24DC"/>
    <w:rsid w:val="00EE2D63"/>
    <w:rsid w:val="00EE48F7"/>
    <w:rsid w:val="00EE62FD"/>
    <w:rsid w:val="00EE79C2"/>
    <w:rsid w:val="00EE7AFC"/>
    <w:rsid w:val="00EF00AE"/>
    <w:rsid w:val="00EF10B6"/>
    <w:rsid w:val="00EF3B0F"/>
    <w:rsid w:val="00EF4617"/>
    <w:rsid w:val="00F00567"/>
    <w:rsid w:val="00F01B87"/>
    <w:rsid w:val="00F03DB3"/>
    <w:rsid w:val="00F04DEC"/>
    <w:rsid w:val="00F04DFF"/>
    <w:rsid w:val="00F06F41"/>
    <w:rsid w:val="00F07201"/>
    <w:rsid w:val="00F14DF6"/>
    <w:rsid w:val="00F153EA"/>
    <w:rsid w:val="00F2139F"/>
    <w:rsid w:val="00F23EA7"/>
    <w:rsid w:val="00F24919"/>
    <w:rsid w:val="00F24EA2"/>
    <w:rsid w:val="00F26715"/>
    <w:rsid w:val="00F27159"/>
    <w:rsid w:val="00F310AB"/>
    <w:rsid w:val="00F32F59"/>
    <w:rsid w:val="00F349E2"/>
    <w:rsid w:val="00F36DDC"/>
    <w:rsid w:val="00F3746D"/>
    <w:rsid w:val="00F40454"/>
    <w:rsid w:val="00F41A46"/>
    <w:rsid w:val="00F42B14"/>
    <w:rsid w:val="00F42D9D"/>
    <w:rsid w:val="00F4333D"/>
    <w:rsid w:val="00F466AB"/>
    <w:rsid w:val="00F50B59"/>
    <w:rsid w:val="00F53094"/>
    <w:rsid w:val="00F53478"/>
    <w:rsid w:val="00F5354A"/>
    <w:rsid w:val="00F57373"/>
    <w:rsid w:val="00F57C9F"/>
    <w:rsid w:val="00F63AB9"/>
    <w:rsid w:val="00F6643F"/>
    <w:rsid w:val="00F67760"/>
    <w:rsid w:val="00F72747"/>
    <w:rsid w:val="00F763E8"/>
    <w:rsid w:val="00F771D3"/>
    <w:rsid w:val="00F82BFF"/>
    <w:rsid w:val="00F83C45"/>
    <w:rsid w:val="00F84055"/>
    <w:rsid w:val="00F841C6"/>
    <w:rsid w:val="00F84FED"/>
    <w:rsid w:val="00F87514"/>
    <w:rsid w:val="00F91DBB"/>
    <w:rsid w:val="00F95569"/>
    <w:rsid w:val="00FA2F6E"/>
    <w:rsid w:val="00FB0D4F"/>
    <w:rsid w:val="00FB11C3"/>
    <w:rsid w:val="00FC12F1"/>
    <w:rsid w:val="00FC2213"/>
    <w:rsid w:val="00FC351B"/>
    <w:rsid w:val="00FC4618"/>
    <w:rsid w:val="00FC4837"/>
    <w:rsid w:val="00FC707C"/>
    <w:rsid w:val="00FD3ADB"/>
    <w:rsid w:val="00FD513B"/>
    <w:rsid w:val="00FD57D1"/>
    <w:rsid w:val="00FD7B8B"/>
    <w:rsid w:val="00FE21A9"/>
    <w:rsid w:val="00FE4667"/>
    <w:rsid w:val="00FE5C52"/>
    <w:rsid w:val="00FF07C0"/>
    <w:rsid w:val="00FF519E"/>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3970">
      <o:colormenu v:ext="edit" strokecolor="none"/>
    </o:shapedefaults>
    <o:shapelayout v:ext="edit">
      <o:idmap v:ext="edit" data="1,9"/>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rsid w:val="00253F18"/>
    <w:pPr>
      <w:tabs>
        <w:tab w:val="center" w:pos="4419"/>
        <w:tab w:val="right" w:pos="8838"/>
      </w:tabs>
      <w:jc w:val="right"/>
    </w:pPr>
    <w:rPr>
      <w:sz w:val="20"/>
      <w:szCs w:val="20"/>
    </w:rPr>
  </w:style>
  <w:style w:type="character" w:customStyle="1" w:styleId="EncabezadoCar">
    <w:name w:val="Encabezado Car"/>
    <w:basedOn w:val="Fuentedeprrafopredeter"/>
    <w:rsid w:val="00C6389F"/>
    <w:rPr>
      <w:lang w:val="es-ES" w:eastAsia="es-ES"/>
    </w:rPr>
  </w:style>
  <w:style w:type="character" w:styleId="Nmerodepgina">
    <w:name w:val="page number"/>
    <w:basedOn w:val="Fuentedeprrafopredeter"/>
    <w:semiHidden/>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s>
</file>

<file path=word/webSettings.xml><?xml version="1.0" encoding="utf-8"?>
<w:webSettings xmlns:r="http://schemas.openxmlformats.org/officeDocument/2006/relationships" xmlns:w="http://schemas.openxmlformats.org/wordprocessingml/2006/main">
  <w:divs>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117" Type="http://schemas.openxmlformats.org/officeDocument/2006/relationships/header" Target="header17.xml"/><Relationship Id="rId21" Type="http://schemas.openxmlformats.org/officeDocument/2006/relationships/footer" Target="footer4.xml"/><Relationship Id="rId42" Type="http://schemas.openxmlformats.org/officeDocument/2006/relationships/package" Target="embeddings/Hoja_de_c_lculo_de_Microsoft_Office_Excel5.xlsx"/><Relationship Id="rId47" Type="http://schemas.openxmlformats.org/officeDocument/2006/relationships/image" Target="media/image14.emf"/><Relationship Id="rId63" Type="http://schemas.openxmlformats.org/officeDocument/2006/relationships/image" Target="media/image19.emf"/><Relationship Id="rId68" Type="http://schemas.openxmlformats.org/officeDocument/2006/relationships/oleObject" Target="embeddings/Hoja_de_c_lculo_de_Microsoft_Office_Excel_97-20039.xls"/><Relationship Id="rId84" Type="http://schemas.openxmlformats.org/officeDocument/2006/relationships/image" Target="media/image25.emf"/><Relationship Id="rId89" Type="http://schemas.openxmlformats.org/officeDocument/2006/relationships/footer" Target="footer17.xml"/><Relationship Id="rId112" Type="http://schemas.openxmlformats.org/officeDocument/2006/relationships/package" Target="embeddings/Hoja_de_c_lculo_de_Microsoft_Office_Excel22.xlsx"/><Relationship Id="rId133" Type="http://schemas.openxmlformats.org/officeDocument/2006/relationships/footer" Target="footer24.xml"/><Relationship Id="rId138" Type="http://schemas.openxmlformats.org/officeDocument/2006/relationships/footer" Target="footer27.xml"/><Relationship Id="rId154" Type="http://schemas.openxmlformats.org/officeDocument/2006/relationships/package" Target="embeddings/Hoja_de_c_lculo_de_Microsoft_Office_Excel31.xlsx"/><Relationship Id="rId159" Type="http://schemas.openxmlformats.org/officeDocument/2006/relationships/image" Target="media/image49.wmf"/><Relationship Id="rId175" Type="http://schemas.openxmlformats.org/officeDocument/2006/relationships/image" Target="media/image63.wmf"/><Relationship Id="rId170" Type="http://schemas.openxmlformats.org/officeDocument/2006/relationships/image" Target="media/image58.wmf"/><Relationship Id="rId16" Type="http://schemas.openxmlformats.org/officeDocument/2006/relationships/image" Target="media/image3.emf"/><Relationship Id="rId107" Type="http://schemas.openxmlformats.org/officeDocument/2006/relationships/image" Target="media/image35.emf"/><Relationship Id="rId11" Type="http://schemas.openxmlformats.org/officeDocument/2006/relationships/footer" Target="footer2.xml"/><Relationship Id="rId32" Type="http://schemas.openxmlformats.org/officeDocument/2006/relationships/image" Target="media/image7.emf"/><Relationship Id="rId37" Type="http://schemas.openxmlformats.org/officeDocument/2006/relationships/image" Target="media/image9.emf"/><Relationship Id="rId53" Type="http://schemas.openxmlformats.org/officeDocument/2006/relationships/image" Target="media/image16.emf"/><Relationship Id="rId58" Type="http://schemas.openxmlformats.org/officeDocument/2006/relationships/oleObject" Target="embeddings/Hoja_de_c_lculo_de_Microsoft_Office_Excel_97-20038.xls"/><Relationship Id="rId74" Type="http://schemas.openxmlformats.org/officeDocument/2006/relationships/package" Target="embeddings/Hoja_de_c_lculo_de_Microsoft_Office_Excel11.xlsx"/><Relationship Id="rId79" Type="http://schemas.openxmlformats.org/officeDocument/2006/relationships/header" Target="header13.xml"/><Relationship Id="rId102" Type="http://schemas.openxmlformats.org/officeDocument/2006/relationships/package" Target="embeddings/Hoja_de_c_lculo_de_Microsoft_Office_Excel18.xlsx"/><Relationship Id="rId123" Type="http://schemas.openxmlformats.org/officeDocument/2006/relationships/package" Target="embeddings/Hoja_de_c_lculo_de_Microsoft_Office_Excel26.xlsx"/><Relationship Id="rId128" Type="http://schemas.openxmlformats.org/officeDocument/2006/relationships/header" Target="header21.xml"/><Relationship Id="rId144" Type="http://schemas.openxmlformats.org/officeDocument/2006/relationships/package" Target="embeddings/Hoja_de_c_lculo_de_Microsoft_Office_Excel28.xlsx"/><Relationship Id="rId149" Type="http://schemas.openxmlformats.org/officeDocument/2006/relationships/image" Target="media/image46.emf"/><Relationship Id="rId5" Type="http://schemas.openxmlformats.org/officeDocument/2006/relationships/webSettings" Target="webSettings.xml"/><Relationship Id="rId90" Type="http://schemas.openxmlformats.org/officeDocument/2006/relationships/footer" Target="footer18.xml"/><Relationship Id="rId95" Type="http://schemas.openxmlformats.org/officeDocument/2006/relationships/image" Target="media/image29.emf"/><Relationship Id="rId160" Type="http://schemas.openxmlformats.org/officeDocument/2006/relationships/image" Target="media/image50.wmf"/><Relationship Id="rId165" Type="http://schemas.openxmlformats.org/officeDocument/2006/relationships/image" Target="media/image53.wmf"/><Relationship Id="rId181" Type="http://schemas.openxmlformats.org/officeDocument/2006/relationships/image" Target="media/image66.emf"/><Relationship Id="rId22" Type="http://schemas.openxmlformats.org/officeDocument/2006/relationships/header" Target="header4.xml"/><Relationship Id="rId27" Type="http://schemas.openxmlformats.org/officeDocument/2006/relationships/oleObject" Target="embeddings/Hoja_de_c_lculo_de_Microsoft_Office_Excel_97-20033.xls"/><Relationship Id="rId43" Type="http://schemas.openxmlformats.org/officeDocument/2006/relationships/image" Target="media/image12.emf"/><Relationship Id="rId48" Type="http://schemas.openxmlformats.org/officeDocument/2006/relationships/oleObject" Target="embeddings/Hoja_de_c_lculo_de_Microsoft_Office_Excel_97-20036.xls"/><Relationship Id="rId64" Type="http://schemas.openxmlformats.org/officeDocument/2006/relationships/package" Target="embeddings/Hoja_de_c_lculo_de_Microsoft_Office_Excel9.xlsx"/><Relationship Id="rId69" Type="http://schemas.openxmlformats.org/officeDocument/2006/relationships/image" Target="media/image22.emf"/><Relationship Id="rId113" Type="http://schemas.openxmlformats.org/officeDocument/2006/relationships/image" Target="media/image37.emf"/><Relationship Id="rId118" Type="http://schemas.openxmlformats.org/officeDocument/2006/relationships/header" Target="header18.xml"/><Relationship Id="rId134" Type="http://schemas.openxmlformats.org/officeDocument/2006/relationships/footer" Target="footer25.xml"/><Relationship Id="rId139" Type="http://schemas.openxmlformats.org/officeDocument/2006/relationships/image" Target="media/image41.emf"/><Relationship Id="rId80" Type="http://schemas.openxmlformats.org/officeDocument/2006/relationships/footer" Target="footer14.xml"/><Relationship Id="rId85" Type="http://schemas.openxmlformats.org/officeDocument/2006/relationships/oleObject" Target="embeddings/Hoja_de_c_lculo_de_Microsoft_Office_Excel_97-200311.xls"/><Relationship Id="rId150" Type="http://schemas.openxmlformats.org/officeDocument/2006/relationships/oleObject" Target="embeddings/Hoja_de_c_lculo_de_Microsoft_Office_Excel_97-200314.xls"/><Relationship Id="rId155" Type="http://schemas.openxmlformats.org/officeDocument/2006/relationships/image" Target="media/image48.emf"/><Relationship Id="rId171" Type="http://schemas.openxmlformats.org/officeDocument/2006/relationships/image" Target="media/image59.wmf"/><Relationship Id="rId176" Type="http://schemas.openxmlformats.org/officeDocument/2006/relationships/image" Target="media/image64.wmf"/><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oleObject" Target="embeddings/Hoja_de_c_lculo_de_Microsoft_Office_Excel_97-20034.xls"/><Relationship Id="rId38" Type="http://schemas.openxmlformats.org/officeDocument/2006/relationships/package" Target="embeddings/Hoja_de_c_lculo_de_Microsoft_Office_Excel3.xlsx"/><Relationship Id="rId59" Type="http://schemas.openxmlformats.org/officeDocument/2006/relationships/header" Target="header10.xml"/><Relationship Id="rId103" Type="http://schemas.openxmlformats.org/officeDocument/2006/relationships/image" Target="media/image33.emf"/><Relationship Id="rId108" Type="http://schemas.openxmlformats.org/officeDocument/2006/relationships/package" Target="embeddings/Hoja_de_c_lculo_de_Microsoft_Office_Excel21.xlsx"/><Relationship Id="rId124" Type="http://schemas.openxmlformats.org/officeDocument/2006/relationships/header" Target="header19.xml"/><Relationship Id="rId129" Type="http://schemas.openxmlformats.org/officeDocument/2006/relationships/header" Target="header22.xml"/><Relationship Id="rId54" Type="http://schemas.openxmlformats.org/officeDocument/2006/relationships/package" Target="embeddings/Hoja_de_c_lculo_de_Microsoft_Office_Excel7.xlsx"/><Relationship Id="rId70" Type="http://schemas.openxmlformats.org/officeDocument/2006/relationships/oleObject" Target="embeddings/Hoja_de_c_lculo_de_Microsoft_Office_Excel_97-200310.xls"/><Relationship Id="rId75" Type="http://schemas.openxmlformats.org/officeDocument/2006/relationships/image" Target="media/image24.emf"/><Relationship Id="rId91" Type="http://schemas.openxmlformats.org/officeDocument/2006/relationships/image" Target="media/image27.emf"/><Relationship Id="rId96" Type="http://schemas.openxmlformats.org/officeDocument/2006/relationships/package" Target="embeddings/Hoja_de_c_lculo_de_Microsoft_Office_Excel15.xlsx"/><Relationship Id="rId140" Type="http://schemas.openxmlformats.org/officeDocument/2006/relationships/oleObject" Target="embeddings/Hoja_de_c_lculo_de_Microsoft_Office_Excel_97-200313.xls"/><Relationship Id="rId145" Type="http://schemas.openxmlformats.org/officeDocument/2006/relationships/image" Target="media/image44.emf"/><Relationship Id="rId161" Type="http://schemas.openxmlformats.org/officeDocument/2006/relationships/header" Target="header29.xml"/><Relationship Id="rId166" Type="http://schemas.openxmlformats.org/officeDocument/2006/relationships/image" Target="media/image54.emf"/><Relationship Id="rId182" Type="http://schemas.openxmlformats.org/officeDocument/2006/relationships/image" Target="media/image67.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header" Target="header5.xml"/><Relationship Id="rId49" Type="http://schemas.openxmlformats.org/officeDocument/2006/relationships/image" Target="media/image15.emf"/><Relationship Id="rId114" Type="http://schemas.openxmlformats.org/officeDocument/2006/relationships/package" Target="embeddings/Hoja_de_c_lculo_de_Microsoft_Office_Excel23.xlsx"/><Relationship Id="rId119" Type="http://schemas.openxmlformats.org/officeDocument/2006/relationships/footer" Target="footer20.xml"/><Relationship Id="rId44" Type="http://schemas.openxmlformats.org/officeDocument/2006/relationships/package" Target="embeddings/Hoja_de_c_lculo_de_Microsoft_Office_Excel6.xlsx"/><Relationship Id="rId60" Type="http://schemas.openxmlformats.org/officeDocument/2006/relationships/footer" Target="footer11.xml"/><Relationship Id="rId65" Type="http://schemas.openxmlformats.org/officeDocument/2006/relationships/image" Target="media/image20.emf"/><Relationship Id="rId81" Type="http://schemas.openxmlformats.org/officeDocument/2006/relationships/footer" Target="footer15.xml"/><Relationship Id="rId86" Type="http://schemas.openxmlformats.org/officeDocument/2006/relationships/image" Target="media/image26.emf"/><Relationship Id="rId130" Type="http://schemas.openxmlformats.org/officeDocument/2006/relationships/footer" Target="footer23.xml"/><Relationship Id="rId135" Type="http://schemas.openxmlformats.org/officeDocument/2006/relationships/header" Target="header25.xml"/><Relationship Id="rId151" Type="http://schemas.openxmlformats.org/officeDocument/2006/relationships/header" Target="header27.xml"/><Relationship Id="rId156" Type="http://schemas.openxmlformats.org/officeDocument/2006/relationships/oleObject" Target="embeddings/Hoja_de_c_lculo_de_Microsoft_Office_Excel_97-200315.xls"/><Relationship Id="rId177" Type="http://schemas.openxmlformats.org/officeDocument/2006/relationships/header" Target="header30.xml"/><Relationship Id="rId4" Type="http://schemas.openxmlformats.org/officeDocument/2006/relationships/settings" Target="settings.xml"/><Relationship Id="rId9" Type="http://schemas.openxmlformats.org/officeDocument/2006/relationships/header" Target="header1.xml"/><Relationship Id="rId172" Type="http://schemas.openxmlformats.org/officeDocument/2006/relationships/image" Target="media/image60.wmf"/><Relationship Id="rId180" Type="http://schemas.openxmlformats.org/officeDocument/2006/relationships/oleObject" Target="embeddings/oleObject1.bin"/><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image" Target="media/image10.emf"/><Relationship Id="rId109" Type="http://schemas.openxmlformats.org/officeDocument/2006/relationships/header" Target="header16.xml"/><Relationship Id="rId34" Type="http://schemas.openxmlformats.org/officeDocument/2006/relationships/header" Target="header7.xml"/><Relationship Id="rId50" Type="http://schemas.openxmlformats.org/officeDocument/2006/relationships/oleObject" Target="embeddings/Hoja_de_c_lculo_de_Microsoft_Office_Excel_97-20037.xls"/><Relationship Id="rId55" Type="http://schemas.openxmlformats.org/officeDocument/2006/relationships/header" Target="header9.xml"/><Relationship Id="rId76" Type="http://schemas.openxmlformats.org/officeDocument/2006/relationships/package" Target="embeddings/Hoja_de_c_lculo_de_Microsoft_Office_Excel12.xlsx"/><Relationship Id="rId97" Type="http://schemas.openxmlformats.org/officeDocument/2006/relationships/image" Target="media/image30.emf"/><Relationship Id="rId104" Type="http://schemas.openxmlformats.org/officeDocument/2006/relationships/package" Target="embeddings/Hoja_de_c_lculo_de_Microsoft_Office_Excel19.xlsx"/><Relationship Id="rId120" Type="http://schemas.openxmlformats.org/officeDocument/2006/relationships/image" Target="media/image39.emf"/><Relationship Id="rId125" Type="http://schemas.openxmlformats.org/officeDocument/2006/relationships/footer" Target="footer21.xml"/><Relationship Id="rId141" Type="http://schemas.openxmlformats.org/officeDocument/2006/relationships/image" Target="media/image42.emf"/><Relationship Id="rId146" Type="http://schemas.openxmlformats.org/officeDocument/2006/relationships/package" Target="embeddings/Hoja_de_c_lculo_de_Microsoft_Office_Excel29.xlsx"/><Relationship Id="rId167" Type="http://schemas.openxmlformats.org/officeDocument/2006/relationships/image" Target="media/image55.wmf"/><Relationship Id="rId7" Type="http://schemas.openxmlformats.org/officeDocument/2006/relationships/endnotes" Target="endnotes.xml"/><Relationship Id="rId71" Type="http://schemas.openxmlformats.org/officeDocument/2006/relationships/header" Target="header11.xml"/><Relationship Id="rId92" Type="http://schemas.openxmlformats.org/officeDocument/2006/relationships/package" Target="embeddings/Hoja_de_c_lculo_de_Microsoft_Office_Excel13.xlsx"/><Relationship Id="rId162" Type="http://schemas.openxmlformats.org/officeDocument/2006/relationships/footer" Target="footer30.xml"/><Relationship Id="rId183" Type="http://schemas.openxmlformats.org/officeDocument/2006/relationships/oleObject" Target="embeddings/Hoja_de_c_lculo_de_Microsoft_Office_Excel_97-200316.xls"/><Relationship Id="rId2" Type="http://schemas.openxmlformats.org/officeDocument/2006/relationships/numbering" Target="numbering.xml"/><Relationship Id="rId29" Type="http://schemas.openxmlformats.org/officeDocument/2006/relationships/footer" Target="footer6.xml"/><Relationship Id="rId24" Type="http://schemas.openxmlformats.org/officeDocument/2006/relationships/image" Target="media/image5.wmf"/><Relationship Id="rId40" Type="http://schemas.openxmlformats.org/officeDocument/2006/relationships/package" Target="embeddings/Hoja_de_c_lculo_de_Microsoft_Office_Excel4.xlsx"/><Relationship Id="rId45" Type="http://schemas.openxmlformats.org/officeDocument/2006/relationships/image" Target="media/image13.emf"/><Relationship Id="rId66" Type="http://schemas.openxmlformats.org/officeDocument/2006/relationships/package" Target="embeddings/Hoja_de_c_lculo_de_Microsoft_Office_Excel10.xlsx"/><Relationship Id="rId87" Type="http://schemas.openxmlformats.org/officeDocument/2006/relationships/oleObject" Target="embeddings/Hoja_de_c_lculo_de_Microsoft_Office_Excel_97-200312.xls"/><Relationship Id="rId110" Type="http://schemas.openxmlformats.org/officeDocument/2006/relationships/footer" Target="footer19.xml"/><Relationship Id="rId115" Type="http://schemas.openxmlformats.org/officeDocument/2006/relationships/image" Target="media/image38.emf"/><Relationship Id="rId131" Type="http://schemas.openxmlformats.org/officeDocument/2006/relationships/header" Target="header23.xml"/><Relationship Id="rId136" Type="http://schemas.openxmlformats.org/officeDocument/2006/relationships/footer" Target="footer26.xml"/><Relationship Id="rId157" Type="http://schemas.openxmlformats.org/officeDocument/2006/relationships/header" Target="header28.xml"/><Relationship Id="rId178" Type="http://schemas.openxmlformats.org/officeDocument/2006/relationships/footer" Target="footer31.xml"/><Relationship Id="rId61" Type="http://schemas.openxmlformats.org/officeDocument/2006/relationships/image" Target="media/image18.emf"/><Relationship Id="rId82" Type="http://schemas.openxmlformats.org/officeDocument/2006/relationships/header" Target="header14.xml"/><Relationship Id="rId152" Type="http://schemas.openxmlformats.org/officeDocument/2006/relationships/footer" Target="footer28.xml"/><Relationship Id="rId173" Type="http://schemas.openxmlformats.org/officeDocument/2006/relationships/image" Target="media/image61.wmf"/><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header" Target="header6.xml"/><Relationship Id="rId35" Type="http://schemas.openxmlformats.org/officeDocument/2006/relationships/footer" Target="footer8.xml"/><Relationship Id="rId56" Type="http://schemas.openxmlformats.org/officeDocument/2006/relationships/footer" Target="footer10.xml"/><Relationship Id="rId77" Type="http://schemas.openxmlformats.org/officeDocument/2006/relationships/header" Target="header12.xml"/><Relationship Id="rId100" Type="http://schemas.openxmlformats.org/officeDocument/2006/relationships/package" Target="embeddings/Hoja_de_c_lculo_de_Microsoft_Office_Excel17.xlsx"/><Relationship Id="rId105" Type="http://schemas.openxmlformats.org/officeDocument/2006/relationships/image" Target="media/image34.emf"/><Relationship Id="rId126" Type="http://schemas.openxmlformats.org/officeDocument/2006/relationships/header" Target="header20.xml"/><Relationship Id="rId147" Type="http://schemas.openxmlformats.org/officeDocument/2006/relationships/image" Target="media/image45.emf"/><Relationship Id="rId168" Type="http://schemas.openxmlformats.org/officeDocument/2006/relationships/image" Target="media/image56.wmf"/><Relationship Id="rId8" Type="http://schemas.openxmlformats.org/officeDocument/2006/relationships/image" Target="media/image1.png"/><Relationship Id="rId51" Type="http://schemas.openxmlformats.org/officeDocument/2006/relationships/header" Target="header8.xml"/><Relationship Id="rId72" Type="http://schemas.openxmlformats.org/officeDocument/2006/relationships/footer" Target="footer12.xml"/><Relationship Id="rId93" Type="http://schemas.openxmlformats.org/officeDocument/2006/relationships/image" Target="media/image28.emf"/><Relationship Id="rId98" Type="http://schemas.openxmlformats.org/officeDocument/2006/relationships/package" Target="embeddings/Hoja_de_c_lculo_de_Microsoft_Office_Excel16.xlsx"/><Relationship Id="rId121" Type="http://schemas.openxmlformats.org/officeDocument/2006/relationships/package" Target="embeddings/Hoja_de_c_lculo_de_Microsoft_Office_Excel25.xlsx"/><Relationship Id="rId142" Type="http://schemas.openxmlformats.org/officeDocument/2006/relationships/package" Target="embeddings/Hoja_de_c_lculo_de_Microsoft_Office_Excel27.xlsx"/><Relationship Id="rId163" Type="http://schemas.openxmlformats.org/officeDocument/2006/relationships/image" Target="media/image51.wmf"/><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oleObject" Target="embeddings/Hoja_de_c_lculo_de_Microsoft_Office_Excel_97-20032.xls"/><Relationship Id="rId46" Type="http://schemas.openxmlformats.org/officeDocument/2006/relationships/oleObject" Target="embeddings/Hoja_de_c_lculo_de_Microsoft_Office_Excel_97-20035.xls"/><Relationship Id="rId67" Type="http://schemas.openxmlformats.org/officeDocument/2006/relationships/image" Target="media/image21.wmf"/><Relationship Id="rId116" Type="http://schemas.openxmlformats.org/officeDocument/2006/relationships/package" Target="embeddings/Hoja_de_c_lculo_de_Microsoft_Office_Excel24.xlsx"/><Relationship Id="rId137" Type="http://schemas.openxmlformats.org/officeDocument/2006/relationships/header" Target="header26.xml"/><Relationship Id="rId158" Type="http://schemas.openxmlformats.org/officeDocument/2006/relationships/footer" Target="footer29.xml"/><Relationship Id="rId20" Type="http://schemas.openxmlformats.org/officeDocument/2006/relationships/header" Target="header3.xml"/><Relationship Id="rId41" Type="http://schemas.openxmlformats.org/officeDocument/2006/relationships/image" Target="media/image11.emf"/><Relationship Id="rId62" Type="http://schemas.openxmlformats.org/officeDocument/2006/relationships/package" Target="embeddings/Hoja_de_c_lculo_de_Microsoft_Office_Excel8.xlsx"/><Relationship Id="rId83" Type="http://schemas.openxmlformats.org/officeDocument/2006/relationships/footer" Target="footer16.xml"/><Relationship Id="rId88" Type="http://schemas.openxmlformats.org/officeDocument/2006/relationships/header" Target="header15.xml"/><Relationship Id="rId111" Type="http://schemas.openxmlformats.org/officeDocument/2006/relationships/image" Target="media/image36.emf"/><Relationship Id="rId132" Type="http://schemas.openxmlformats.org/officeDocument/2006/relationships/header" Target="header24.xml"/><Relationship Id="rId153" Type="http://schemas.openxmlformats.org/officeDocument/2006/relationships/image" Target="media/image47.emf"/><Relationship Id="rId174" Type="http://schemas.openxmlformats.org/officeDocument/2006/relationships/image" Target="media/image62.wmf"/><Relationship Id="rId179" Type="http://schemas.openxmlformats.org/officeDocument/2006/relationships/image" Target="media/image65.wmf"/><Relationship Id="rId15" Type="http://schemas.openxmlformats.org/officeDocument/2006/relationships/oleObject" Target="embeddings/Hoja_de_c_lculo_de_Microsoft_Office_Excel_97-20031.xls"/><Relationship Id="rId36" Type="http://schemas.openxmlformats.org/officeDocument/2006/relationships/image" Target="media/image8.png"/><Relationship Id="rId57" Type="http://schemas.openxmlformats.org/officeDocument/2006/relationships/image" Target="media/image17.emf"/><Relationship Id="rId106" Type="http://schemas.openxmlformats.org/officeDocument/2006/relationships/package" Target="embeddings/Hoja_de_c_lculo_de_Microsoft_Office_Excel20.xlsx"/><Relationship Id="rId127" Type="http://schemas.openxmlformats.org/officeDocument/2006/relationships/footer" Target="footer22.xml"/><Relationship Id="rId10" Type="http://schemas.openxmlformats.org/officeDocument/2006/relationships/footer" Target="footer1.xml"/><Relationship Id="rId31" Type="http://schemas.openxmlformats.org/officeDocument/2006/relationships/footer" Target="footer7.xml"/><Relationship Id="rId52" Type="http://schemas.openxmlformats.org/officeDocument/2006/relationships/footer" Target="footer9.xml"/><Relationship Id="rId73" Type="http://schemas.openxmlformats.org/officeDocument/2006/relationships/image" Target="media/image23.emf"/><Relationship Id="rId78" Type="http://schemas.openxmlformats.org/officeDocument/2006/relationships/footer" Target="footer13.xml"/><Relationship Id="rId94" Type="http://schemas.openxmlformats.org/officeDocument/2006/relationships/package" Target="embeddings/Hoja_de_c_lculo_de_Microsoft_Office_Excel14.xlsx"/><Relationship Id="rId99" Type="http://schemas.openxmlformats.org/officeDocument/2006/relationships/image" Target="media/image31.emf"/><Relationship Id="rId101" Type="http://schemas.openxmlformats.org/officeDocument/2006/relationships/image" Target="media/image32.emf"/><Relationship Id="rId122" Type="http://schemas.openxmlformats.org/officeDocument/2006/relationships/image" Target="media/image40.emf"/><Relationship Id="rId143" Type="http://schemas.openxmlformats.org/officeDocument/2006/relationships/image" Target="media/image43.emf"/><Relationship Id="rId148" Type="http://schemas.openxmlformats.org/officeDocument/2006/relationships/package" Target="embeddings/Hoja_de_c_lculo_de_Microsoft_Office_Excel30.xlsx"/><Relationship Id="rId164" Type="http://schemas.openxmlformats.org/officeDocument/2006/relationships/image" Target="media/image52.wmf"/><Relationship Id="rId169" Type="http://schemas.openxmlformats.org/officeDocument/2006/relationships/image" Target="media/image57.wmf"/><Relationship Id="rId185"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372FB6-D784-4FF3-B565-4FB81C8D4B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1028</TotalTime>
  <Pages>49</Pages>
  <Words>4812</Words>
  <Characters>26468</Characters>
  <Application>Microsoft Office Word</Application>
  <DocSecurity>0</DocSecurity>
  <Lines>220</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31218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99</cp:revision>
  <cp:lastPrinted>2012-01-20T17:03:00Z</cp:lastPrinted>
  <dcterms:created xsi:type="dcterms:W3CDTF">2011-10-21T17:28:00Z</dcterms:created>
  <dcterms:modified xsi:type="dcterms:W3CDTF">2012-01-20T17:05:00Z</dcterms:modified>
</cp:coreProperties>
</file>